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CB126" w14:textId="242B92EE" w:rsidR="00C775A5" w:rsidRPr="003E460E" w:rsidRDefault="003E460E">
      <w:pPr>
        <w:widowControl w:val="0"/>
        <w:autoSpaceDE w:val="0"/>
        <w:autoSpaceDN w:val="0"/>
        <w:adjustRightInd w:val="0"/>
        <w:jc w:val="center"/>
        <w:rPr>
          <w:b/>
          <w:bCs/>
          <w:sz w:val="32"/>
          <w:szCs w:val="32"/>
          <w:lang w:val="en-US"/>
        </w:rPr>
      </w:pPr>
      <w:r w:rsidRPr="003E460E">
        <w:rPr>
          <w:b/>
          <w:bCs/>
          <w:sz w:val="32"/>
          <w:szCs w:val="32"/>
          <w:lang w:val="en-US"/>
        </w:rPr>
        <w:t>PROBING CERIUM AND ACTINIDES PHOSPHATES STRUCTURE BY SYNCHROTRON TECHNIQUES</w:t>
      </w:r>
      <w:r>
        <w:rPr>
          <w:b/>
          <w:bCs/>
          <w:sz w:val="32"/>
          <w:szCs w:val="32"/>
          <w:lang w:val="en-US"/>
        </w:rPr>
        <w:t xml:space="preserve"> </w:t>
      </w:r>
    </w:p>
    <w:p w14:paraId="6444C948" w14:textId="77777777" w:rsidR="00C775A5" w:rsidRPr="00E5401A" w:rsidRDefault="00C775A5">
      <w:pPr>
        <w:widowControl w:val="0"/>
        <w:autoSpaceDE w:val="0"/>
        <w:autoSpaceDN w:val="0"/>
        <w:adjustRightInd w:val="0"/>
        <w:jc w:val="center"/>
        <w:rPr>
          <w:lang w:val="en-US"/>
        </w:rPr>
      </w:pPr>
    </w:p>
    <w:p w14:paraId="33ECB31B" w14:textId="43E4226A" w:rsidR="003E460E" w:rsidRPr="003042AA" w:rsidRDefault="003E460E" w:rsidP="003E460E">
      <w:pPr>
        <w:widowControl w:val="0"/>
        <w:autoSpaceDE w:val="0"/>
        <w:autoSpaceDN w:val="0"/>
        <w:adjustRightInd w:val="0"/>
        <w:jc w:val="center"/>
        <w:rPr>
          <w:sz w:val="28"/>
          <w:szCs w:val="28"/>
        </w:rPr>
      </w:pPr>
      <w:r>
        <w:rPr>
          <w:sz w:val="28"/>
          <w:szCs w:val="28"/>
          <w:lang w:val="en-US"/>
        </w:rPr>
        <w:t>T.V. Plakhova</w:t>
      </w:r>
      <w:r w:rsidRPr="00D645E7">
        <w:rPr>
          <w:sz w:val="28"/>
          <w:szCs w:val="28"/>
          <w:vertAlign w:val="superscript"/>
          <w:lang w:val="en-US"/>
        </w:rPr>
        <w:t>1</w:t>
      </w:r>
      <w:r w:rsidRPr="00E5401A">
        <w:rPr>
          <w:sz w:val="28"/>
          <w:szCs w:val="28"/>
          <w:lang w:val="en-US"/>
        </w:rPr>
        <w:t xml:space="preserve">, </w:t>
      </w:r>
      <w:proofErr w:type="spellStart"/>
      <w:r>
        <w:rPr>
          <w:sz w:val="28"/>
          <w:szCs w:val="28"/>
          <w:lang w:val="en-US"/>
        </w:rPr>
        <w:t>Yu.A</w:t>
      </w:r>
      <w:proofErr w:type="spellEnd"/>
      <w:r>
        <w:rPr>
          <w:sz w:val="28"/>
          <w:szCs w:val="28"/>
          <w:lang w:val="en-US"/>
        </w:rPr>
        <w:t>. Teterin</w:t>
      </w:r>
      <w:r>
        <w:rPr>
          <w:sz w:val="28"/>
          <w:szCs w:val="28"/>
          <w:vertAlign w:val="superscript"/>
          <w:lang w:val="en-US"/>
        </w:rPr>
        <w:t>1</w:t>
      </w:r>
      <w:r>
        <w:rPr>
          <w:sz w:val="28"/>
          <w:szCs w:val="28"/>
          <w:lang w:val="en-US"/>
        </w:rPr>
        <w:t>, R.D. Svetogorov</w:t>
      </w:r>
      <w:r w:rsidRPr="00D645E7">
        <w:rPr>
          <w:sz w:val="28"/>
          <w:szCs w:val="28"/>
          <w:vertAlign w:val="superscript"/>
          <w:lang w:val="en-US"/>
        </w:rPr>
        <w:t>2</w:t>
      </w:r>
      <w:r>
        <w:rPr>
          <w:sz w:val="28"/>
          <w:szCs w:val="28"/>
          <w:lang w:val="en-US"/>
        </w:rPr>
        <w:t>, A.L. Trigub</w:t>
      </w:r>
      <w:r w:rsidRPr="00D14C06">
        <w:rPr>
          <w:sz w:val="28"/>
          <w:szCs w:val="28"/>
          <w:vertAlign w:val="superscript"/>
          <w:lang w:val="en-US"/>
        </w:rPr>
        <w:t>1,2</w:t>
      </w:r>
      <w:r>
        <w:rPr>
          <w:sz w:val="28"/>
          <w:szCs w:val="28"/>
          <w:lang w:val="en-US"/>
        </w:rPr>
        <w:t xml:space="preserve">, </w:t>
      </w:r>
      <w:r>
        <w:rPr>
          <w:sz w:val="28"/>
          <w:szCs w:val="28"/>
          <w:lang w:val="en-US"/>
        </w:rPr>
        <w:br/>
      </w:r>
      <w:proofErr w:type="spellStart"/>
      <w:r>
        <w:rPr>
          <w:sz w:val="28"/>
          <w:szCs w:val="28"/>
          <w:lang w:val="en-US"/>
        </w:rPr>
        <w:t>A.Yu</w:t>
      </w:r>
      <w:proofErr w:type="spellEnd"/>
      <w:r>
        <w:rPr>
          <w:sz w:val="28"/>
          <w:szCs w:val="28"/>
          <w:lang w:val="en-US"/>
        </w:rPr>
        <w:t>. Romanchuk</w:t>
      </w:r>
      <w:r w:rsidR="003042AA" w:rsidRPr="003042AA">
        <w:rPr>
          <w:sz w:val="28"/>
          <w:szCs w:val="28"/>
          <w:vertAlign w:val="superscript"/>
        </w:rPr>
        <w:t>1</w:t>
      </w:r>
      <w:r>
        <w:rPr>
          <w:sz w:val="28"/>
          <w:szCs w:val="28"/>
          <w:lang w:val="en-US"/>
        </w:rPr>
        <w:t xml:space="preserve"> and </w:t>
      </w:r>
      <w:proofErr w:type="spellStart"/>
      <w:r>
        <w:rPr>
          <w:sz w:val="28"/>
          <w:szCs w:val="28"/>
          <w:lang w:val="en-US"/>
        </w:rPr>
        <w:t>S.</w:t>
      </w:r>
      <w:proofErr w:type="gramStart"/>
      <w:r>
        <w:rPr>
          <w:sz w:val="28"/>
          <w:szCs w:val="28"/>
          <w:lang w:val="en-US"/>
        </w:rPr>
        <w:t>N.Kalmykov</w:t>
      </w:r>
      <w:proofErr w:type="spellEnd"/>
      <w:proofErr w:type="gramEnd"/>
      <w:r w:rsidR="003042AA" w:rsidRPr="003042AA">
        <w:rPr>
          <w:sz w:val="28"/>
          <w:szCs w:val="28"/>
          <w:vertAlign w:val="superscript"/>
        </w:rPr>
        <w:t>1</w:t>
      </w:r>
    </w:p>
    <w:p w14:paraId="1A9FE3A9" w14:textId="77777777" w:rsidR="003E460E" w:rsidRPr="00E5401A" w:rsidRDefault="003E460E" w:rsidP="003E460E">
      <w:pPr>
        <w:widowControl w:val="0"/>
        <w:autoSpaceDE w:val="0"/>
        <w:autoSpaceDN w:val="0"/>
        <w:adjustRightInd w:val="0"/>
        <w:jc w:val="center"/>
        <w:rPr>
          <w:i/>
          <w:iCs/>
          <w:lang w:val="en-US"/>
        </w:rPr>
      </w:pPr>
      <w:r w:rsidRPr="00E5401A">
        <w:rPr>
          <w:i/>
          <w:iCs/>
          <w:vertAlign w:val="superscript"/>
          <w:lang w:val="en-US"/>
        </w:rPr>
        <w:t>1</w:t>
      </w:r>
      <w:r>
        <w:rPr>
          <w:i/>
          <w:iCs/>
          <w:lang w:val="en-US"/>
        </w:rPr>
        <w:t>Lomonosov Moscow State University</w:t>
      </w:r>
      <w:r w:rsidRPr="00E5401A">
        <w:rPr>
          <w:i/>
          <w:iCs/>
          <w:lang w:val="en-US"/>
        </w:rPr>
        <w:t xml:space="preserve">, </w:t>
      </w:r>
      <w:r>
        <w:rPr>
          <w:i/>
          <w:iCs/>
          <w:lang w:val="en-US"/>
        </w:rPr>
        <w:t>Moscow</w:t>
      </w:r>
      <w:r w:rsidRPr="00E5401A">
        <w:rPr>
          <w:i/>
          <w:iCs/>
          <w:lang w:val="en-US"/>
        </w:rPr>
        <w:t xml:space="preserve">, </w:t>
      </w:r>
      <w:r>
        <w:rPr>
          <w:i/>
          <w:iCs/>
          <w:lang w:val="en-US"/>
        </w:rPr>
        <w:t>Russia</w:t>
      </w:r>
      <w:r w:rsidRPr="00E5401A">
        <w:rPr>
          <w:i/>
          <w:iCs/>
          <w:lang w:val="en-US"/>
        </w:rPr>
        <w:t xml:space="preserve">; </w:t>
      </w:r>
      <w:r w:rsidRPr="00E5401A">
        <w:rPr>
          <w:i/>
          <w:iCs/>
          <w:vertAlign w:val="superscript"/>
          <w:lang w:val="en-US"/>
        </w:rPr>
        <w:t>2</w:t>
      </w:r>
      <w:r w:rsidRPr="00D077E6">
        <w:rPr>
          <w:i/>
          <w:lang w:val="en-US"/>
        </w:rPr>
        <w:t xml:space="preserve"> </w:t>
      </w:r>
      <w:r w:rsidRPr="00D645E7">
        <w:rPr>
          <w:i/>
          <w:lang w:val="en-US"/>
        </w:rPr>
        <w:t>National Research Centre "</w:t>
      </w:r>
      <w:proofErr w:type="spellStart"/>
      <w:r w:rsidRPr="00D645E7">
        <w:rPr>
          <w:i/>
          <w:lang w:val="en-US"/>
        </w:rPr>
        <w:t>Kurchatov</w:t>
      </w:r>
      <w:proofErr w:type="spellEnd"/>
      <w:r w:rsidRPr="00D645E7">
        <w:rPr>
          <w:i/>
          <w:lang w:val="en-US"/>
        </w:rPr>
        <w:t xml:space="preserve"> Institute"</w:t>
      </w:r>
      <w:r>
        <w:rPr>
          <w:i/>
          <w:lang w:val="en-US"/>
        </w:rPr>
        <w:t xml:space="preserve">, </w:t>
      </w:r>
      <w:r>
        <w:rPr>
          <w:i/>
          <w:iCs/>
          <w:lang w:val="en-US"/>
        </w:rPr>
        <w:t>Moscow</w:t>
      </w:r>
      <w:r w:rsidRPr="00E5401A">
        <w:rPr>
          <w:i/>
          <w:iCs/>
          <w:lang w:val="en-US"/>
        </w:rPr>
        <w:t xml:space="preserve">, </w:t>
      </w:r>
      <w:r>
        <w:rPr>
          <w:i/>
          <w:iCs/>
          <w:lang w:val="en-US"/>
        </w:rPr>
        <w:t>Russia</w:t>
      </w:r>
    </w:p>
    <w:p w14:paraId="3CA92542" w14:textId="02ED7D80" w:rsidR="00074B75" w:rsidRPr="00E5401A" w:rsidRDefault="003E460E" w:rsidP="003E460E">
      <w:pPr>
        <w:widowControl w:val="0"/>
        <w:tabs>
          <w:tab w:val="center" w:pos="4536"/>
          <w:tab w:val="left" w:pos="6535"/>
        </w:tabs>
        <w:autoSpaceDE w:val="0"/>
        <w:autoSpaceDN w:val="0"/>
        <w:adjustRightInd w:val="0"/>
        <w:rPr>
          <w:lang w:val="en-US"/>
        </w:rPr>
      </w:pPr>
      <w:r>
        <w:rPr>
          <w:lang w:val="en-US"/>
        </w:rPr>
        <w:tab/>
      </w:r>
      <w:r w:rsidRPr="00E5401A">
        <w:rPr>
          <w:lang w:val="en-US"/>
        </w:rPr>
        <w:t>E-mail:</w:t>
      </w:r>
      <w:r>
        <w:rPr>
          <w:lang w:val="en-US"/>
        </w:rPr>
        <w:t xml:space="preserve"> tatiana.v.plakhova@gmail.com</w:t>
      </w:r>
      <w:r>
        <w:rPr>
          <w:lang w:val="en-US"/>
        </w:rPr>
        <w:tab/>
      </w:r>
      <w:r w:rsidR="00D077E6">
        <w:rPr>
          <w:lang w:val="en-US"/>
        </w:rPr>
        <w:tab/>
      </w:r>
    </w:p>
    <w:p w14:paraId="400719D6" w14:textId="77777777" w:rsidR="009E098D" w:rsidRPr="00E5401A" w:rsidRDefault="009E098D" w:rsidP="009E098D">
      <w:pPr>
        <w:widowControl w:val="0"/>
        <w:autoSpaceDE w:val="0"/>
        <w:autoSpaceDN w:val="0"/>
        <w:adjustRightInd w:val="0"/>
        <w:jc w:val="center"/>
        <w:rPr>
          <w:lang w:val="en-US"/>
        </w:rPr>
      </w:pPr>
    </w:p>
    <w:p w14:paraId="51BE43F2" w14:textId="032D766F" w:rsidR="00D84655" w:rsidRPr="00D84655" w:rsidRDefault="00906BAB" w:rsidP="00D84655">
      <w:pPr>
        <w:widowControl w:val="0"/>
        <w:autoSpaceDE w:val="0"/>
        <w:autoSpaceDN w:val="0"/>
        <w:adjustRightInd w:val="0"/>
        <w:ind w:firstLine="340"/>
        <w:jc w:val="both"/>
        <w:rPr>
          <w:sz w:val="28"/>
          <w:szCs w:val="28"/>
          <w:lang w:val="en-US"/>
        </w:rPr>
      </w:pPr>
      <w:r w:rsidRPr="00906BAB">
        <w:rPr>
          <w:sz w:val="28"/>
          <w:szCs w:val="28"/>
          <w:lang w:val="en-US"/>
        </w:rPr>
        <w:t>Phosphate anion is a crucial component of the life cycle as organophosphate or inorganic phosphate in bone and teeth. Phosphates are ubiquitous in various geologic formations. Besides organic phosphates are often used in different industrial schemes, and the most critical example is nuclear fuel reprocessing (PUREX process). Therefore, the study of actinide</w:t>
      </w:r>
      <w:r w:rsidR="00720B77">
        <w:rPr>
          <w:sz w:val="28"/>
          <w:szCs w:val="28"/>
          <w:lang w:val="en-US"/>
        </w:rPr>
        <w:t xml:space="preserve"> (An)</w:t>
      </w:r>
      <w:r w:rsidRPr="00906BAB">
        <w:rPr>
          <w:sz w:val="28"/>
          <w:szCs w:val="28"/>
          <w:lang w:val="en-US"/>
        </w:rPr>
        <w:t xml:space="preserve"> phosphates is essential for most of the research fields. Cerium is often presented as a relevant </w:t>
      </w:r>
      <w:r w:rsidR="000D2378" w:rsidRPr="00906BAB">
        <w:rPr>
          <w:sz w:val="28"/>
          <w:szCs w:val="28"/>
          <w:lang w:val="en-US"/>
        </w:rPr>
        <w:t xml:space="preserve">non-radioactive </w:t>
      </w:r>
      <w:r w:rsidRPr="00906BAB">
        <w:rPr>
          <w:sz w:val="28"/>
          <w:szCs w:val="28"/>
          <w:lang w:val="en-US"/>
        </w:rPr>
        <w:t>chemical analog of plutonium, neptunium, and thorium due to the closeness of ionic radii. Despite the relatively long history of phosphate-related research, there are still many gaps in the understanding of actinides-phosphates and cerium-phosphate systems.</w:t>
      </w:r>
      <w:r>
        <w:rPr>
          <w:sz w:val="28"/>
          <w:szCs w:val="28"/>
          <w:lang w:val="en-US"/>
        </w:rPr>
        <w:t xml:space="preserve"> </w:t>
      </w:r>
      <w:r w:rsidRPr="00906BAB">
        <w:rPr>
          <w:sz w:val="28"/>
          <w:szCs w:val="28"/>
          <w:lang w:val="en-US"/>
        </w:rPr>
        <w:t>The modern experimental techniques (especially synchrotron based) may help to obtain required information about structural type, oxidation states, chemical resistance etc., and in some cases to revise or expand the previously obtained results.</w:t>
      </w:r>
      <w:r w:rsidR="00D84655">
        <w:rPr>
          <w:sz w:val="28"/>
          <w:szCs w:val="28"/>
          <w:lang w:val="en-US"/>
        </w:rPr>
        <w:t xml:space="preserve"> </w:t>
      </w:r>
      <w:r w:rsidR="00D84655" w:rsidRPr="00D84655">
        <w:rPr>
          <w:sz w:val="28"/>
          <w:szCs w:val="28"/>
          <w:lang w:val="en-US"/>
        </w:rPr>
        <w:t xml:space="preserve">Thus, the purpose of this work was to establish the relationship between the conditions for the synthesis of cerium and </w:t>
      </w:r>
      <w:r w:rsidR="000D2378">
        <w:rPr>
          <w:sz w:val="28"/>
          <w:szCs w:val="28"/>
          <w:lang w:val="en-US"/>
        </w:rPr>
        <w:t>actinide</w:t>
      </w:r>
      <w:r w:rsidR="00D84655" w:rsidRPr="00D84655">
        <w:rPr>
          <w:sz w:val="28"/>
          <w:szCs w:val="28"/>
          <w:lang w:val="en-US"/>
        </w:rPr>
        <w:t xml:space="preserve"> phosphates and their structure.</w:t>
      </w:r>
    </w:p>
    <w:p w14:paraId="0B417BCD" w14:textId="55327A66" w:rsidR="00D84655" w:rsidRPr="00D84655" w:rsidRDefault="00D84655" w:rsidP="00D84655">
      <w:pPr>
        <w:widowControl w:val="0"/>
        <w:autoSpaceDE w:val="0"/>
        <w:autoSpaceDN w:val="0"/>
        <w:adjustRightInd w:val="0"/>
        <w:ind w:firstLine="340"/>
        <w:jc w:val="both"/>
        <w:rPr>
          <w:sz w:val="28"/>
          <w:szCs w:val="28"/>
          <w:lang w:val="en-US"/>
        </w:rPr>
      </w:pPr>
      <w:r w:rsidRPr="00D84655">
        <w:rPr>
          <w:sz w:val="28"/>
          <w:szCs w:val="28"/>
          <w:lang w:val="en-US"/>
        </w:rPr>
        <w:t xml:space="preserve">As part of the work, samples of cerium and </w:t>
      </w:r>
      <w:r w:rsidR="000D2378">
        <w:rPr>
          <w:sz w:val="28"/>
          <w:szCs w:val="28"/>
          <w:lang w:val="en-US"/>
        </w:rPr>
        <w:t>actinide</w:t>
      </w:r>
      <w:r w:rsidR="000D2378" w:rsidRPr="00D84655">
        <w:rPr>
          <w:sz w:val="28"/>
          <w:szCs w:val="28"/>
          <w:lang w:val="en-US"/>
        </w:rPr>
        <w:t xml:space="preserve"> </w:t>
      </w:r>
      <w:r w:rsidRPr="00D84655">
        <w:rPr>
          <w:sz w:val="28"/>
          <w:szCs w:val="28"/>
          <w:lang w:val="en-US"/>
        </w:rPr>
        <w:t xml:space="preserve">phosphates were obtained in two different ways. In the first method, phosphates were synthesized by chemical precipitation from 0.1 M </w:t>
      </w:r>
      <w:proofErr w:type="gramStart"/>
      <w:r w:rsidRPr="00D84655">
        <w:rPr>
          <w:sz w:val="28"/>
          <w:szCs w:val="28"/>
          <w:lang w:val="en-US"/>
        </w:rPr>
        <w:t>Ce(</w:t>
      </w:r>
      <w:proofErr w:type="gramEnd"/>
      <w:r w:rsidRPr="00D84655">
        <w:rPr>
          <w:sz w:val="28"/>
          <w:szCs w:val="28"/>
          <w:lang w:val="en-US"/>
        </w:rPr>
        <w:t>III), Ce(IV)</w:t>
      </w:r>
      <w:r w:rsidR="000D2378">
        <w:rPr>
          <w:sz w:val="28"/>
          <w:szCs w:val="28"/>
          <w:lang w:val="en-US"/>
        </w:rPr>
        <w:t xml:space="preserve">, </w:t>
      </w:r>
      <w:r w:rsidRPr="00D84655">
        <w:rPr>
          <w:sz w:val="28"/>
          <w:szCs w:val="28"/>
          <w:lang w:val="en-US"/>
        </w:rPr>
        <w:t>Th(IV)</w:t>
      </w:r>
      <w:r w:rsidR="000D2378">
        <w:rPr>
          <w:sz w:val="28"/>
          <w:szCs w:val="28"/>
          <w:lang w:val="en-US"/>
        </w:rPr>
        <w:t>, Pu(III), Pu(IV) and Np(</w:t>
      </w:r>
      <w:r w:rsidR="00E266DE">
        <w:rPr>
          <w:sz w:val="28"/>
          <w:szCs w:val="28"/>
          <w:lang w:val="en-US"/>
        </w:rPr>
        <w:t>I</w:t>
      </w:r>
      <w:r w:rsidR="000D2378">
        <w:rPr>
          <w:sz w:val="28"/>
          <w:szCs w:val="28"/>
          <w:lang w:val="en-US"/>
        </w:rPr>
        <w:t xml:space="preserve">V) </w:t>
      </w:r>
      <w:r w:rsidRPr="00D84655">
        <w:rPr>
          <w:sz w:val="28"/>
          <w:szCs w:val="28"/>
          <w:lang w:val="en-US"/>
        </w:rPr>
        <w:t>solutions. The synthesis was carried out in a NaH</w:t>
      </w:r>
      <w:r w:rsidRPr="00D84655">
        <w:rPr>
          <w:sz w:val="28"/>
          <w:szCs w:val="28"/>
          <w:vertAlign w:val="subscript"/>
          <w:lang w:val="en-US"/>
        </w:rPr>
        <w:t>2</w:t>
      </w:r>
      <w:r w:rsidRPr="00D84655">
        <w:rPr>
          <w:sz w:val="28"/>
          <w:szCs w:val="28"/>
          <w:lang w:val="en-US"/>
        </w:rPr>
        <w:t>PO</w:t>
      </w:r>
      <w:r w:rsidRPr="00D84655">
        <w:rPr>
          <w:sz w:val="28"/>
          <w:szCs w:val="28"/>
          <w:vertAlign w:val="subscript"/>
          <w:lang w:val="en-US"/>
        </w:rPr>
        <w:t>4</w:t>
      </w:r>
      <w:r w:rsidRPr="00D84655">
        <w:rPr>
          <w:sz w:val="28"/>
          <w:szCs w:val="28"/>
          <w:lang w:val="en-US"/>
        </w:rPr>
        <w:t xml:space="preserve"> solution taken in excess at pH=1.3. In the second method, phosphates were obtained by hydrothermal treatment of preliminarily synthesized CeO</w:t>
      </w:r>
      <w:r w:rsidRPr="00D84655">
        <w:rPr>
          <w:sz w:val="28"/>
          <w:szCs w:val="28"/>
          <w:vertAlign w:val="subscript"/>
          <w:lang w:val="en-US"/>
        </w:rPr>
        <w:t>2</w:t>
      </w:r>
      <w:r w:rsidRPr="00D84655">
        <w:rPr>
          <w:sz w:val="28"/>
          <w:szCs w:val="28"/>
          <w:lang w:val="en-US"/>
        </w:rPr>
        <w:t xml:space="preserve"> and ThO</w:t>
      </w:r>
      <w:r w:rsidRPr="00D84655">
        <w:rPr>
          <w:sz w:val="28"/>
          <w:szCs w:val="28"/>
          <w:vertAlign w:val="subscript"/>
          <w:lang w:val="en-US"/>
        </w:rPr>
        <w:t>2</w:t>
      </w:r>
      <w:r w:rsidRPr="00D84655">
        <w:rPr>
          <w:sz w:val="28"/>
          <w:szCs w:val="28"/>
          <w:lang w:val="en-US"/>
        </w:rPr>
        <w:t xml:space="preserve"> nanoparticles in a 1M phosphate buffer. </w:t>
      </w:r>
      <w:r w:rsidR="000D2378">
        <w:rPr>
          <w:sz w:val="28"/>
          <w:szCs w:val="28"/>
          <w:lang w:val="en-US"/>
        </w:rPr>
        <w:t>E</w:t>
      </w:r>
      <w:r w:rsidRPr="00D84655">
        <w:rPr>
          <w:sz w:val="28"/>
          <w:szCs w:val="28"/>
          <w:lang w:val="en-US"/>
        </w:rPr>
        <w:t>lectron microscopy was used to study the morphological characteristics of the obtained phosphates. To decipher the structure of the obtained cerium and thorium phosphates, a set of complementary modern synchrotron methods was used: synchrotron X-ray diffraction, high resolution XANES spectroscopy (HERFD), and EXAFS spectroscopy.</w:t>
      </w:r>
    </w:p>
    <w:p w14:paraId="2F6BDF64" w14:textId="34109F34" w:rsidR="00C775A5" w:rsidRDefault="00D84655" w:rsidP="00E266DE">
      <w:pPr>
        <w:widowControl w:val="0"/>
        <w:autoSpaceDE w:val="0"/>
        <w:autoSpaceDN w:val="0"/>
        <w:adjustRightInd w:val="0"/>
        <w:ind w:firstLine="340"/>
        <w:jc w:val="both"/>
        <w:rPr>
          <w:sz w:val="28"/>
          <w:szCs w:val="28"/>
          <w:lang w:val="en-US"/>
        </w:rPr>
      </w:pPr>
      <w:r w:rsidRPr="00D84655">
        <w:rPr>
          <w:sz w:val="28"/>
          <w:szCs w:val="28"/>
          <w:lang w:val="en-US"/>
        </w:rPr>
        <w:t xml:space="preserve">It has been found </w:t>
      </w:r>
      <w:r w:rsidR="00E266DE" w:rsidRPr="00E266DE">
        <w:rPr>
          <w:sz w:val="28"/>
          <w:szCs w:val="28"/>
          <w:lang w:val="en-US"/>
        </w:rPr>
        <w:t>that, as a result of chemical precipitation</w:t>
      </w:r>
      <w:r w:rsidR="00E266DE">
        <w:rPr>
          <w:sz w:val="28"/>
          <w:szCs w:val="28"/>
          <w:lang w:val="en-US"/>
        </w:rPr>
        <w:t xml:space="preserve"> from </w:t>
      </w:r>
      <w:proofErr w:type="gramStart"/>
      <w:r w:rsidR="00E266DE">
        <w:rPr>
          <w:sz w:val="28"/>
          <w:szCs w:val="28"/>
          <w:lang w:val="en-US"/>
        </w:rPr>
        <w:t>Ce(</w:t>
      </w:r>
      <w:proofErr w:type="gramEnd"/>
      <w:r w:rsidR="00E266DE">
        <w:rPr>
          <w:sz w:val="28"/>
          <w:szCs w:val="28"/>
          <w:lang w:val="en-US"/>
        </w:rPr>
        <w:t>IV) and Ac(IV)</w:t>
      </w:r>
      <w:r w:rsidR="00E266DE" w:rsidRPr="00E266DE">
        <w:rPr>
          <w:sz w:val="28"/>
          <w:szCs w:val="28"/>
          <w:lang w:val="en-US"/>
        </w:rPr>
        <w:t xml:space="preserve">, X-ray amorphous </w:t>
      </w:r>
      <w:r w:rsidR="00720B77">
        <w:rPr>
          <w:sz w:val="28"/>
          <w:szCs w:val="28"/>
          <w:lang w:val="en-US"/>
        </w:rPr>
        <w:t>gels</w:t>
      </w:r>
      <w:r w:rsidR="00E266DE" w:rsidRPr="00E266DE">
        <w:rPr>
          <w:sz w:val="28"/>
          <w:szCs w:val="28"/>
          <w:lang w:val="en-US"/>
        </w:rPr>
        <w:t xml:space="preserve"> are formed</w:t>
      </w:r>
      <w:r w:rsidR="00720B77">
        <w:rPr>
          <w:sz w:val="28"/>
          <w:szCs w:val="28"/>
          <w:lang w:val="en-US"/>
        </w:rPr>
        <w:t xml:space="preserve">. </w:t>
      </w:r>
      <w:r w:rsidR="00720B77" w:rsidRPr="00720B77">
        <w:rPr>
          <w:sz w:val="28"/>
          <w:szCs w:val="28"/>
          <w:lang w:val="en-US"/>
        </w:rPr>
        <w:t xml:space="preserve">Drying </w:t>
      </w:r>
      <w:r w:rsidR="00720B77">
        <w:rPr>
          <w:sz w:val="28"/>
          <w:szCs w:val="28"/>
          <w:lang w:val="en-US"/>
        </w:rPr>
        <w:t>of such</w:t>
      </w:r>
      <w:r w:rsidR="00720B77" w:rsidRPr="00720B77">
        <w:rPr>
          <w:sz w:val="28"/>
          <w:szCs w:val="28"/>
          <w:lang w:val="en-US"/>
        </w:rPr>
        <w:t xml:space="preserve"> gel-like precipitates in air leads to their crystallization</w:t>
      </w:r>
      <w:r w:rsidR="00E266DE">
        <w:rPr>
          <w:sz w:val="28"/>
          <w:szCs w:val="28"/>
          <w:lang w:val="en-US"/>
        </w:rPr>
        <w:t>. T</w:t>
      </w:r>
      <w:r w:rsidRPr="00D84655">
        <w:rPr>
          <w:sz w:val="28"/>
          <w:szCs w:val="28"/>
          <w:lang w:val="en-US"/>
        </w:rPr>
        <w:t xml:space="preserve">he formation of nanocrystalline </w:t>
      </w:r>
      <w:proofErr w:type="gramStart"/>
      <w:r w:rsidRPr="00D84655">
        <w:rPr>
          <w:sz w:val="28"/>
          <w:szCs w:val="28"/>
          <w:lang w:val="en-US"/>
        </w:rPr>
        <w:t>Ce</w:t>
      </w:r>
      <w:r w:rsidR="00E266DE" w:rsidRPr="00E266DE">
        <w:rPr>
          <w:sz w:val="28"/>
          <w:szCs w:val="28"/>
          <w:vertAlign w:val="superscript"/>
          <w:lang w:val="en-US"/>
        </w:rPr>
        <w:t>(</w:t>
      </w:r>
      <w:proofErr w:type="gramEnd"/>
      <w:r w:rsidR="00E266DE" w:rsidRPr="00E266DE">
        <w:rPr>
          <w:sz w:val="28"/>
          <w:szCs w:val="28"/>
          <w:vertAlign w:val="superscript"/>
          <w:lang w:val="en-US"/>
        </w:rPr>
        <w:t>III)</w:t>
      </w:r>
      <w:r w:rsidRPr="00D84655">
        <w:rPr>
          <w:sz w:val="28"/>
          <w:szCs w:val="28"/>
          <w:lang w:val="en-US"/>
        </w:rPr>
        <w:t>PO</w:t>
      </w:r>
      <w:r w:rsidRPr="00E266DE">
        <w:rPr>
          <w:sz w:val="28"/>
          <w:szCs w:val="28"/>
          <w:vertAlign w:val="subscript"/>
          <w:lang w:val="en-US"/>
        </w:rPr>
        <w:t>4</w:t>
      </w:r>
      <w:r w:rsidRPr="00D84655">
        <w:rPr>
          <w:sz w:val="28"/>
          <w:szCs w:val="28"/>
          <w:lang w:val="en-US"/>
        </w:rPr>
        <w:t xml:space="preserve"> with the structure of rhabdophane occurs in the case of precipitation from a Ce(III) salt. Under the conditions of HT treatment in a 1M phosphate buffer medium, the initial CeO</w:t>
      </w:r>
      <w:r w:rsidRPr="00E266DE">
        <w:rPr>
          <w:sz w:val="28"/>
          <w:szCs w:val="28"/>
          <w:vertAlign w:val="subscript"/>
          <w:lang w:val="en-US"/>
        </w:rPr>
        <w:t>2</w:t>
      </w:r>
      <w:r w:rsidRPr="00D84655">
        <w:rPr>
          <w:sz w:val="28"/>
          <w:szCs w:val="28"/>
          <w:lang w:val="en-US"/>
        </w:rPr>
        <w:t xml:space="preserve"> </w:t>
      </w:r>
      <w:r w:rsidR="00E266DE">
        <w:rPr>
          <w:sz w:val="28"/>
          <w:szCs w:val="28"/>
          <w:lang w:val="en-US"/>
        </w:rPr>
        <w:t>and ThO</w:t>
      </w:r>
      <w:r w:rsidR="00E266DE" w:rsidRPr="00E266DE">
        <w:rPr>
          <w:sz w:val="28"/>
          <w:szCs w:val="28"/>
          <w:vertAlign w:val="subscript"/>
          <w:lang w:val="en-US"/>
        </w:rPr>
        <w:t>2</w:t>
      </w:r>
      <w:r w:rsidR="00E266DE">
        <w:rPr>
          <w:sz w:val="28"/>
          <w:szCs w:val="28"/>
          <w:lang w:val="en-US"/>
        </w:rPr>
        <w:t xml:space="preserve"> </w:t>
      </w:r>
      <w:r w:rsidRPr="00D84655">
        <w:rPr>
          <w:sz w:val="28"/>
          <w:szCs w:val="28"/>
          <w:lang w:val="en-US"/>
        </w:rPr>
        <w:t xml:space="preserve">crystallites are reformed into </w:t>
      </w:r>
      <w:r w:rsidR="00720B77">
        <w:rPr>
          <w:sz w:val="28"/>
          <w:szCs w:val="28"/>
          <w:lang w:val="en-US"/>
        </w:rPr>
        <w:t xml:space="preserve">nanocrystalline </w:t>
      </w:r>
      <w:r w:rsidRPr="00D84655">
        <w:rPr>
          <w:sz w:val="28"/>
          <w:szCs w:val="28"/>
          <w:lang w:val="en-US"/>
        </w:rPr>
        <w:t>phosphate</w:t>
      </w:r>
      <w:r w:rsidR="00E266DE">
        <w:rPr>
          <w:sz w:val="28"/>
          <w:szCs w:val="28"/>
          <w:lang w:val="en-US"/>
        </w:rPr>
        <w:t xml:space="preserve">s with different structures. </w:t>
      </w:r>
    </w:p>
    <w:p w14:paraId="276B7719" w14:textId="77777777" w:rsidR="00E266DE" w:rsidRPr="00C25EF5" w:rsidRDefault="00E266DE" w:rsidP="00E266DE">
      <w:pPr>
        <w:widowControl w:val="0"/>
        <w:autoSpaceDE w:val="0"/>
        <w:autoSpaceDN w:val="0"/>
        <w:adjustRightInd w:val="0"/>
        <w:ind w:firstLine="708"/>
        <w:jc w:val="both"/>
        <w:rPr>
          <w:i/>
          <w:iCs/>
          <w:lang w:val="en-US"/>
        </w:rPr>
      </w:pPr>
      <w:r w:rsidRPr="00C25EF5">
        <w:rPr>
          <w:i/>
          <w:iCs/>
          <w:lang w:val="en-US"/>
        </w:rPr>
        <w:t>The work was supported by the grant of the Ministry of Science and Higher Education of the Russian Federation No. 075-15-2021-1353</w:t>
      </w:r>
    </w:p>
    <w:p w14:paraId="0C86B8C8" w14:textId="77777777" w:rsidR="00E266DE" w:rsidRPr="00E266DE" w:rsidRDefault="00E266DE" w:rsidP="00E266DE">
      <w:pPr>
        <w:widowControl w:val="0"/>
        <w:autoSpaceDE w:val="0"/>
        <w:autoSpaceDN w:val="0"/>
        <w:adjustRightInd w:val="0"/>
        <w:ind w:firstLine="340"/>
        <w:jc w:val="both"/>
        <w:rPr>
          <w:sz w:val="28"/>
          <w:szCs w:val="28"/>
          <w:lang w:val="en-US"/>
        </w:rPr>
      </w:pPr>
    </w:p>
    <w:sectPr w:rsidR="00E266DE" w:rsidRPr="00E266DE" w:rsidSect="00C775A5">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08EDC" w14:textId="77777777" w:rsidR="00DE6B1F" w:rsidRDefault="00DE6B1F" w:rsidP="004061C2">
      <w:r>
        <w:separator/>
      </w:r>
    </w:p>
  </w:endnote>
  <w:endnote w:type="continuationSeparator" w:id="0">
    <w:p w14:paraId="06FD4F3C" w14:textId="77777777" w:rsidR="00DE6B1F" w:rsidRDefault="00DE6B1F" w:rsidP="0040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6DA6" w14:textId="77777777" w:rsidR="004061C2" w:rsidRDefault="004061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62E5" w14:textId="77777777" w:rsidR="004061C2" w:rsidRDefault="004061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E686" w14:textId="77777777" w:rsidR="004061C2" w:rsidRDefault="004061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3DE9F" w14:textId="77777777" w:rsidR="00DE6B1F" w:rsidRDefault="00DE6B1F" w:rsidP="004061C2">
      <w:r>
        <w:separator/>
      </w:r>
    </w:p>
  </w:footnote>
  <w:footnote w:type="continuationSeparator" w:id="0">
    <w:p w14:paraId="1B2B7769" w14:textId="77777777" w:rsidR="00DE6B1F" w:rsidRDefault="00DE6B1F" w:rsidP="00406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88503" w14:textId="77777777" w:rsidR="004061C2" w:rsidRDefault="004061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5ACA" w14:textId="77777777" w:rsidR="004061C2" w:rsidRDefault="004061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F3310" w14:textId="77777777" w:rsidR="004061C2" w:rsidRDefault="004061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removePersonalInformation/>
  <w:removeDateAndTime/>
  <w:embedSystemFonts/>
  <w:bordersDoNotSurroundHeader/>
  <w:bordersDoNotSurroundFooter/>
  <w:proofState w:spelling="clean" w:grammar="clean"/>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82A"/>
    <w:rsid w:val="00074B75"/>
    <w:rsid w:val="00077BC8"/>
    <w:rsid w:val="000A3381"/>
    <w:rsid w:val="000D2378"/>
    <w:rsid w:val="001A39D1"/>
    <w:rsid w:val="001A7891"/>
    <w:rsid w:val="001D482A"/>
    <w:rsid w:val="002A15E7"/>
    <w:rsid w:val="002E2955"/>
    <w:rsid w:val="003042AA"/>
    <w:rsid w:val="003468B3"/>
    <w:rsid w:val="003A4FBF"/>
    <w:rsid w:val="003E460E"/>
    <w:rsid w:val="004061C2"/>
    <w:rsid w:val="00490684"/>
    <w:rsid w:val="004E661F"/>
    <w:rsid w:val="005A1D51"/>
    <w:rsid w:val="006B0359"/>
    <w:rsid w:val="00720B77"/>
    <w:rsid w:val="007B3E28"/>
    <w:rsid w:val="007D5EFC"/>
    <w:rsid w:val="007E7481"/>
    <w:rsid w:val="008F7BD7"/>
    <w:rsid w:val="009067A0"/>
    <w:rsid w:val="00906BAB"/>
    <w:rsid w:val="009E098D"/>
    <w:rsid w:val="009E4D25"/>
    <w:rsid w:val="00AA600B"/>
    <w:rsid w:val="00B4673C"/>
    <w:rsid w:val="00BE3BD5"/>
    <w:rsid w:val="00C47E0A"/>
    <w:rsid w:val="00C575B6"/>
    <w:rsid w:val="00C775A5"/>
    <w:rsid w:val="00CC7E21"/>
    <w:rsid w:val="00D077E6"/>
    <w:rsid w:val="00D84655"/>
    <w:rsid w:val="00D9628D"/>
    <w:rsid w:val="00DD178D"/>
    <w:rsid w:val="00DE6B1F"/>
    <w:rsid w:val="00E13B3D"/>
    <w:rsid w:val="00E266DE"/>
    <w:rsid w:val="00E54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5ACC9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1C2"/>
    <w:pPr>
      <w:tabs>
        <w:tab w:val="center" w:pos="4844"/>
        <w:tab w:val="right" w:pos="9689"/>
      </w:tabs>
    </w:pPr>
  </w:style>
  <w:style w:type="character" w:customStyle="1" w:styleId="HeaderChar">
    <w:name w:val="Header Char"/>
    <w:basedOn w:val="DefaultParagraphFont"/>
    <w:link w:val="Header"/>
    <w:uiPriority w:val="99"/>
    <w:locked/>
    <w:rsid w:val="004061C2"/>
    <w:rPr>
      <w:sz w:val="24"/>
      <w:lang w:val="ru-RU" w:eastAsia="ru-RU"/>
    </w:rPr>
  </w:style>
  <w:style w:type="paragraph" w:styleId="Footer">
    <w:name w:val="footer"/>
    <w:basedOn w:val="Normal"/>
    <w:link w:val="FooterChar"/>
    <w:uiPriority w:val="99"/>
    <w:unhideWhenUsed/>
    <w:rsid w:val="004061C2"/>
    <w:pPr>
      <w:tabs>
        <w:tab w:val="center" w:pos="4844"/>
        <w:tab w:val="right" w:pos="9689"/>
      </w:tabs>
    </w:pPr>
  </w:style>
  <w:style w:type="character" w:customStyle="1" w:styleId="FooterChar">
    <w:name w:val="Footer Char"/>
    <w:basedOn w:val="DefaultParagraphFont"/>
    <w:link w:val="Footer"/>
    <w:uiPriority w:val="99"/>
    <w:locked/>
    <w:rsid w:val="004061C2"/>
    <w:rPr>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7117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01C04BB-B774-8049-A809-190C2313F366}">
  <we:reference id="wa200001011" version="1.2.0.0" store="en-GB" storeType="OMEX"/>
  <we:alternateReferences>
    <we:reference id="wa200001011" version="1.2.0.0" store="en-GB"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2022-05-24T17:52:00Z</dcterms:created>
  <dcterms:modified xsi:type="dcterms:W3CDTF">2022-11-02T19:10:00Z</dcterms:modified>
</cp:coreProperties>
</file>