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8A" w:rsidRPr="00386C8A" w:rsidRDefault="00386C8A" w:rsidP="00386C8A">
      <w:pPr>
        <w:spacing w:line="288" w:lineRule="auto"/>
        <w:ind w:firstLine="709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386C8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УДК 614.7</w:t>
      </w:r>
    </w:p>
    <w:p w:rsidR="00386C8A" w:rsidRDefault="00386C8A" w:rsidP="00386C8A">
      <w:pPr>
        <w:spacing w:line="288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86C8A" w:rsidRDefault="00386C8A" w:rsidP="00386C8A">
      <w:pPr>
        <w:spacing w:line="288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68C1" w:rsidRPr="00A0114C" w:rsidRDefault="00386C8A" w:rsidP="008D2D76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ИЗУЧЕНИЕ </w:t>
      </w:r>
      <w:r w:rsidR="00CA14E3" w:rsidRPr="00A011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ЛИЯНИЯ</w:t>
      </w:r>
      <w:r w:rsidR="005A68C1" w:rsidRPr="00A011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ШУНГИТА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ЧИСЛЕННОСТЬ ГЕТЕРОТРОФНЫХ БАКТЕРИЙ В ВОДЕ</w:t>
      </w:r>
      <w:r w:rsidR="005A68C1" w:rsidRPr="00A011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ВО ВРЕМЯ ЭКСПЕРИМЕНТОВ </w:t>
      </w:r>
      <w:r w:rsidR="005A68C1" w:rsidRPr="002B3D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IN</w:t>
      </w:r>
      <w:r w:rsidR="005A68C1" w:rsidRPr="002B3D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5A68C1" w:rsidRPr="002B3D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VITRO</w:t>
      </w:r>
    </w:p>
    <w:p w:rsidR="005A68C1" w:rsidRPr="00A0114C" w:rsidRDefault="005A68C1" w:rsidP="008D2D76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14E3" w:rsidRPr="00A0114C" w:rsidRDefault="009C5996" w:rsidP="008D2D76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©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5C11ED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Г.А.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Даллакян</w:t>
      </w:r>
      <w:proofErr w:type="spellEnd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11ED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И.В. </w:t>
      </w:r>
      <w:proofErr w:type="spellStart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Мошарова</w:t>
      </w:r>
      <w:proofErr w:type="spellEnd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11ED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В.В. </w:t>
      </w:r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Ильинский </w:t>
      </w:r>
    </w:p>
    <w:p w:rsidR="009C5996" w:rsidRPr="00A0114C" w:rsidRDefault="009C5996" w:rsidP="008D2D76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996" w:rsidRPr="00A0114C" w:rsidRDefault="009C5996" w:rsidP="009C5996">
      <w:pPr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Московский государственный университет имени М.В. Ломоносова, г. Москва</w:t>
      </w:r>
    </w:p>
    <w:p w:rsidR="009C5996" w:rsidRPr="00A0114C" w:rsidRDefault="009C5996" w:rsidP="008D2D76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555" w:rsidRPr="00A0114C" w:rsidRDefault="00AB0C66" w:rsidP="00321555">
      <w:pPr>
        <w:spacing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Исследовали</w:t>
      </w:r>
      <w:r w:rsidR="00775E93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влияние</w:t>
      </w:r>
      <w:r w:rsidR="00321555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 xml:space="preserve"> в количествах 1 г/л, 10 г/л и 100 г/л на численность гетеротро</w:t>
      </w:r>
      <w:r w:rsidR="00911673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>фных бактерий в</w:t>
      </w:r>
      <w:r w:rsidR="00522FE1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 xml:space="preserve"> воде</w:t>
      </w:r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 xml:space="preserve">. Полученные результаты </w:t>
      </w:r>
      <w:r w:rsidR="00B83CE9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не подтвердили эффективность</w:t>
      </w:r>
      <w:r w:rsidR="00321555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применения </w:t>
      </w:r>
      <w:proofErr w:type="spellStart"/>
      <w:r w:rsidR="00321555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шунгита</w:t>
      </w:r>
      <w:proofErr w:type="spellEnd"/>
      <w:r w:rsidR="00321555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широком диапазоне вносимых количеств (от 1 до 100 г/л) для обеззараживания воды от бактерий.</w:t>
      </w:r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 xml:space="preserve"> При внесении </w:t>
      </w:r>
      <w:proofErr w:type="spellStart"/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 xml:space="preserve"> в экспериментальные емкости численность микроорганизмов не только не снижалась, а напротив - возрастала. В наибольшей степени численность </w:t>
      </w:r>
      <w:proofErr w:type="spellStart"/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>бактериопланктона</w:t>
      </w:r>
      <w:proofErr w:type="spellEnd"/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 xml:space="preserve"> увеличивалась при внесении </w:t>
      </w:r>
      <w:proofErr w:type="spellStart"/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321555"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 xml:space="preserve"> в количестве 10 г/л</w:t>
      </w:r>
      <w:r w:rsidR="00321555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871C8" w:rsidRPr="00A0114C" w:rsidRDefault="001871C8" w:rsidP="00321555">
      <w:pPr>
        <w:spacing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Ключевые слова:</w:t>
      </w:r>
      <w:r w:rsidR="00B56592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56592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Шунгит</w:t>
      </w:r>
      <w:proofErr w:type="spellEnd"/>
      <w:r w:rsidR="00B56592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фуллерены; гетеротрофный </w:t>
      </w:r>
      <w:proofErr w:type="spellStart"/>
      <w:r w:rsidR="00B56592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бактериопланктон</w:t>
      </w:r>
      <w:proofErr w:type="spellEnd"/>
      <w:r w:rsidR="00B56592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56592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антибиотики;</w:t>
      </w:r>
      <w:r w:rsidR="00B4119A"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водные микроорганизмы</w:t>
      </w:r>
    </w:p>
    <w:p w:rsidR="00CA14E3" w:rsidRPr="00A0114C" w:rsidRDefault="00CA14E3" w:rsidP="008D2D76">
      <w:pPr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858" w:rsidRPr="00A0114C" w:rsidRDefault="00BB3858" w:rsidP="00BB3858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A011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EFFECT OF SCHUNGITE ON B</w:t>
      </w:r>
      <w:r w:rsidR="00C1447D" w:rsidRPr="00A011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A011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CTERIOPLANKTON ABUNDANCE DURING THE EXPERIMENTS </w:t>
      </w:r>
      <w:r w:rsidRPr="00A0114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IN VITRO</w:t>
      </w:r>
    </w:p>
    <w:p w:rsidR="00914388" w:rsidRPr="00A0114C" w:rsidRDefault="00914388" w:rsidP="00BB3858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C01E81" w:rsidRPr="00A0114C" w:rsidRDefault="00C01E81" w:rsidP="00914388">
      <w:pPr>
        <w:ind w:left="357" w:right="284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 xml:space="preserve">G.A.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>Dallakyan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 xml:space="preserve">, </w:t>
      </w:r>
      <w:r w:rsidR="0091438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 xml:space="preserve">I.V. </w:t>
      </w:r>
      <w:proofErr w:type="spellStart"/>
      <w:proofErr w:type="gramStart"/>
      <w:r w:rsidR="0091438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>Mosharova</w:t>
      </w:r>
      <w:proofErr w:type="spellEnd"/>
      <w:r w:rsidR="0091438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91438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>,</w:t>
      </w:r>
      <w:proofErr w:type="gramEnd"/>
      <w:r w:rsidR="0091438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 xml:space="preserve"> </w:t>
      </w:r>
      <w:r w:rsidR="00625404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 xml:space="preserve">V.V. </w:t>
      </w:r>
      <w:proofErr w:type="spellStart"/>
      <w:r w:rsidR="00625404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>Il’inskii</w:t>
      </w:r>
      <w:proofErr w:type="spellEnd"/>
      <w:r w:rsidR="00625404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 xml:space="preserve"> </w:t>
      </w:r>
    </w:p>
    <w:p w:rsidR="00914388" w:rsidRPr="00A0114C" w:rsidRDefault="00914388" w:rsidP="00914388">
      <w:pPr>
        <w:ind w:left="357" w:right="284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</w:pP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>Lomonosov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en-US"/>
        </w:rPr>
        <w:t xml:space="preserve"> Moscow State University, Moscow</w:t>
      </w:r>
    </w:p>
    <w:p w:rsidR="00914388" w:rsidRPr="00A0114C" w:rsidRDefault="00914388" w:rsidP="00BB3858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BB3858" w:rsidRPr="00A0114C" w:rsidRDefault="00142D02" w:rsidP="00221F4F">
      <w:pPr>
        <w:spacing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We investigated the effect of </w:t>
      </w:r>
      <w:proofErr w:type="spellStart"/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shungite</w:t>
      </w:r>
      <w:proofErr w:type="spellEnd"/>
      <w:r w:rsidR="000B2206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in amounts of 1 g/l, 10 g/l and 100 g/</w:t>
      </w:r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l on the </w:t>
      </w:r>
      <w:r w:rsidR="00BB4C3E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total </w:t>
      </w:r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number of heterotrophic bacteria in the</w:t>
      </w:r>
      <w:r w:rsidR="00911673" w:rsidRPr="0091167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911673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experimental flasks</w:t>
      </w:r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The obtained results didn’t confirm the effectiveness of using </w:t>
      </w:r>
      <w:proofErr w:type="spellStart"/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shungite</w:t>
      </w:r>
      <w:proofErr w:type="spellEnd"/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in a wide ra</w:t>
      </w:r>
      <w:r w:rsidR="000B2206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nge of amounts (from 1 to 100 g/</w:t>
      </w:r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l) for disinfection of aquarium water from bacteria.</w:t>
      </w:r>
      <w:r w:rsidR="00221F4F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When </w:t>
      </w:r>
      <w:proofErr w:type="spellStart"/>
      <w:r w:rsidR="00221F4F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shungite</w:t>
      </w:r>
      <w:proofErr w:type="spellEnd"/>
      <w:r w:rsidR="00221F4F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was added to the experimental flasks, the number of microorganisms didn’t decrease, but on the contrary increased.</w:t>
      </w:r>
      <w:r w:rsidR="0056577E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The greatest number of </w:t>
      </w:r>
      <w:proofErr w:type="spellStart"/>
      <w:r w:rsidR="0056577E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bacterioplankton</w:t>
      </w:r>
      <w:proofErr w:type="spellEnd"/>
      <w:r w:rsidR="0056577E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increased with the application of </w:t>
      </w:r>
      <w:proofErr w:type="spellStart"/>
      <w:r w:rsidR="0056577E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schungite</w:t>
      </w:r>
      <w:proofErr w:type="spellEnd"/>
      <w:r w:rsidR="000B2206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in the amount of 10 g/</w:t>
      </w:r>
      <w:r w:rsidR="0056577E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l.</w:t>
      </w:r>
    </w:p>
    <w:p w:rsidR="00221F4F" w:rsidRPr="00A0114C" w:rsidRDefault="00221F4F" w:rsidP="008D2D76">
      <w:pPr>
        <w:spacing w:line="288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BB3858" w:rsidRPr="00A0114C" w:rsidRDefault="00F26B43" w:rsidP="008D2D76">
      <w:pPr>
        <w:spacing w:line="288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0114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Key words:</w:t>
      </w:r>
      <w:r w:rsidR="00B4119A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119A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Schungite</w:t>
      </w:r>
      <w:proofErr w:type="spellEnd"/>
      <w:r w:rsidR="00B4119A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fullerenes, heterotrophic </w:t>
      </w:r>
      <w:proofErr w:type="spellStart"/>
      <w:r w:rsidR="00B4119A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bacterioplankton</w:t>
      </w:r>
      <w:proofErr w:type="spellEnd"/>
      <w:r w:rsidR="00B4119A" w:rsidRPr="00A011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 antibiotics, aquatic microorganisms</w:t>
      </w:r>
    </w:p>
    <w:p w:rsidR="00B4119A" w:rsidRPr="00A0114C" w:rsidRDefault="00B4119A" w:rsidP="008D2D76">
      <w:pPr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37F4F" w:rsidRDefault="0024605A" w:rsidP="00337F4F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числу важнейших факторов сохранения здоровья населения относится его обеспечение качест</w:t>
      </w:r>
      <w:r w:rsidR="00337F4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водой.</w:t>
      </w:r>
      <w:r w:rsidR="0038627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E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</w:t>
      </w:r>
      <w:r w:rsidR="0038627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постоянно ведутся работы по совершенствованию технологий очистки воды</w:t>
      </w:r>
      <w:r w:rsidR="00DF5E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из </w:t>
      </w:r>
      <w:r w:rsidR="008108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природных резервуаров</w:t>
      </w:r>
      <w:r w:rsidR="003751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F5E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и из водопроводной сети,</w:t>
      </w:r>
      <w:r w:rsidR="003751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38627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направленные на повышение ее бактериологической </w:t>
      </w:r>
      <w:r w:rsidR="0038627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безопасности</w:t>
      </w:r>
      <w:r w:rsidR="00DF5E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B72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1233" w:rsidRPr="00CA1233">
        <w:rPr>
          <w:rFonts w:ascii="Times New Roman" w:hAnsi="Times New Roman" w:cs="Times New Roman"/>
        </w:rPr>
        <w:t xml:space="preserve">Для обеспечения </w:t>
      </w:r>
      <w:r w:rsidR="00CA1233">
        <w:rPr>
          <w:rFonts w:ascii="Times New Roman" w:hAnsi="Times New Roman" w:cs="Times New Roman"/>
        </w:rPr>
        <w:t>б</w:t>
      </w:r>
      <w:r w:rsidR="000B72E2" w:rsidRPr="00CA1233">
        <w:rPr>
          <w:rFonts w:ascii="Times New Roman" w:hAnsi="Times New Roman" w:cs="Times New Roman"/>
        </w:rPr>
        <w:t>актер</w:t>
      </w:r>
      <w:r w:rsidR="00CA1233">
        <w:rPr>
          <w:rFonts w:ascii="Times New Roman" w:hAnsi="Times New Roman" w:cs="Times New Roman"/>
        </w:rPr>
        <w:t>иологической</w:t>
      </w:r>
      <w:r w:rsidR="000B72E2" w:rsidRPr="00CA12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</w:t>
      </w:r>
      <w:r w:rsidR="00CA12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B72E2" w:rsidRPr="00CA12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воды, поступающей населению</w:t>
      </w:r>
      <w:r w:rsidR="00F602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A12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контролируется уровень развития</w:t>
      </w:r>
      <w:r w:rsidR="00F317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ней</w:t>
      </w:r>
      <w:r w:rsidR="00F602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микроорганизмов, в частности численность гетеротрофных бактерий</w:t>
      </w:r>
      <w:r w:rsidR="00F317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поскольку многие санитарно-показательные микроорганизмы являются представителями этой эколого-физиологической группы </w:t>
      </w:r>
      <w:proofErr w:type="spellStart"/>
      <w:r w:rsidR="00F317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бактериопланктона</w:t>
      </w:r>
      <w:proofErr w:type="spellEnd"/>
      <w:r w:rsidR="00F317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679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Обеззараживание воды проводится на станциях водоочистки с применением различных физических и химических методов (например, с использованием гипохлорита натрия, </w:t>
      </w:r>
      <w:r w:rsidR="00E17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хлора, </w:t>
      </w:r>
      <w:r w:rsidR="004679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озона, ультразвука и пр.). Однако при прохождении воды через водопроводные коммуникации</w:t>
      </w:r>
      <w:r w:rsidR="00E17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 вновь её микробиологическое загрязнение. Поэтому и в домашних условиях рекомендуют использование различных фильтровальных систем и установок для улучшения качества воды и обеззараживания ее от микроорганизмов. В качестве сорбционных агентов в таких фильтровальных установках применяют различные вещества, например, кокосовый активированный уголь, серебро, различные фильтрующие мембраны. В последнее время 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сорбционного агента для домашнего обеззараживания воды от бактерий и улучшения её качества </w:t>
      </w:r>
      <w:r w:rsidR="003B59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 предлагают использовать </w:t>
      </w:r>
      <w:proofErr w:type="spellStart"/>
      <w:r w:rsidR="003B59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</w:t>
      </w:r>
      <w:proofErr w:type="spellEnd"/>
      <w:r w:rsidR="003B59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Например, 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ироко рекламируется применение воды, настоянной на </w:t>
      </w:r>
      <w:proofErr w:type="spellStart"/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>шунгите</w:t>
      </w:r>
      <w:proofErr w:type="spellEnd"/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>, в оздоровительных целях насе</w:t>
      </w:r>
      <w:r w:rsidR="00153193">
        <w:rPr>
          <w:rFonts w:ascii="Times New Roman" w:hAnsi="Times New Roman" w:cs="Times New Roman"/>
          <w:color w:val="000000" w:themeColor="text1"/>
          <w:sz w:val="24"/>
          <w:szCs w:val="24"/>
        </w:rPr>
        <w:t>лением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13B" w:rsidRPr="001843C4">
        <w:rPr>
          <w:rFonts w:ascii="Times New Roman" w:hAnsi="Times New Roman" w:cs="Times New Roman"/>
          <w:color w:val="000000" w:themeColor="text1"/>
          <w:sz w:val="24"/>
          <w:szCs w:val="24"/>
        </w:rPr>
        <w:t>[9]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Однако достоверной научной информации</w:t>
      </w:r>
      <w:r w:rsidR="0027713B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влиянии </w:t>
      </w:r>
      <w:proofErr w:type="spellStart"/>
      <w:r w:rsidR="0027713B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="0027713B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1531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водные микроорганизмы, и в частности на численность 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гетеротрофных бактерий</w:t>
      </w:r>
      <w:r w:rsidR="001531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воде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771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недостаточно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 И</w:t>
      </w:r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>меются</w:t>
      </w:r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лишь отдельные</w:t>
      </w:r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сообщения</w:t>
      </w:r>
      <w:r w:rsidR="00337F4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</w:t>
      </w:r>
      <w:proofErr w:type="spellStart"/>
      <w:r w:rsidR="00337F4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шунгита</w:t>
      </w:r>
      <w:proofErr w:type="spellEnd"/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устранения жесткости воды </w:t>
      </w:r>
      <w:r w:rsidR="00337F4F" w:rsidRPr="0037510C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="00337F4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об использовании </w:t>
      </w:r>
      <w:proofErr w:type="spellStart"/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>шунгита</w:t>
      </w:r>
      <w:proofErr w:type="spellEnd"/>
      <w:r w:rsidR="00277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337F4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обеззаражив</w:t>
      </w:r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>ания воды</w:t>
      </w:r>
      <w:r w:rsidR="00337F4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бактериальных клеток и фагов [4, 5]. </w:t>
      </w:r>
    </w:p>
    <w:p w:rsidR="0027713B" w:rsidRPr="00A0114C" w:rsidRDefault="0027713B" w:rsidP="00337F4F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4E3" w:rsidRPr="00A0114C" w:rsidRDefault="003F582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5A3E22" w:rsidRPr="00A01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исследования -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</w:t>
      </w:r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влияния различных количеств </w:t>
      </w:r>
      <w:proofErr w:type="spellStart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</w:t>
      </w:r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численность гетеротрофных</w:t>
      </w:r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F4F">
        <w:rPr>
          <w:rFonts w:ascii="Times New Roman" w:hAnsi="Times New Roman" w:cs="Times New Roman"/>
          <w:color w:val="000000" w:themeColor="text1"/>
          <w:sz w:val="24"/>
          <w:szCs w:val="24"/>
        </w:rPr>
        <w:t>бактерий</w:t>
      </w:r>
      <w:r w:rsidR="00F1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C3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воде</w:t>
      </w:r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способность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микроорганизмов </w:t>
      </w:r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к восстановлению численности после воздействия антибиотиков.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4E3" w:rsidRPr="00A0114C" w:rsidRDefault="005310E2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 и методы</w:t>
      </w:r>
    </w:p>
    <w:p w:rsidR="008D2D76" w:rsidRPr="00A0114C" w:rsidRDefault="008D2D76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экспериментов использовали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шунгитовую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крошку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Зажогинского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месторождения от компании «Арго», ее предварительно просеивали через фильтр с диаметром ячеи 0.5 мм для получения более однородной по размеру фракции. Затем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обрабатывали согласно рекомендациям изготовителя: сначала его промывали холодной</w:t>
      </w:r>
      <w:r w:rsidR="00B9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водопроводной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водой, затем помещали в трехлитровую стеклянную банку с </w:t>
      </w:r>
      <w:proofErr w:type="gram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водой </w:t>
      </w:r>
      <w:r w:rsidR="005C0B9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5C0B9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выдерживали двое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суток, после чего вновь промывали дистиллированной водой для удаления посторонних примесей</w:t>
      </w:r>
      <w:r w:rsidR="00B9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6AC" w:rsidRPr="00B906AC">
        <w:rPr>
          <w:rFonts w:ascii="Times New Roman" w:hAnsi="Times New Roman" w:cs="Times New Roman"/>
          <w:color w:val="000000" w:themeColor="text1"/>
          <w:sz w:val="24"/>
          <w:szCs w:val="24"/>
        </w:rPr>
        <w:t>[6]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 такой предварительной обработки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стерилизовали в автоклаве при 1 атм. в течение 30 мин. 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в 3 стерильные стеклянные колбы объемом 250 мл вносили по 100 мл воды из аквариума, после чего добавляли в них стерильную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шунгитовую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крошку в количествах 250 мг (или 1 г/л), 2,5 г (или 10 г/л) и 25 г (или 100 г/л). Далее в тексте статьи</w:t>
      </w:r>
      <w:r w:rsidR="00910751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использованные в экспериментах количества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шунгита</w:t>
      </w:r>
      <w:proofErr w:type="spellEnd"/>
      <w:r w:rsidR="00910751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указаны для наглядности в пересчете на 1 л.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 xml:space="preserve">Для определения численности гетеротрофных бактерий (ЧБ) использовали метод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эпифлуоресцентной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микроскопии с окраской клеток водным раствором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флуорохрома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акридинового оранжевого </w:t>
      </w:r>
      <w:r w:rsidR="00A0114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[6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]. 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Для оценки влияния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на ЧБ после воздействия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антибиотиков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использовали смесь двух антибиотиков: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ванкомицина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(100 мг/л) и пенициллина (5 мг/л) [</w:t>
      </w:r>
      <w:r w:rsidR="00A0114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11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].</w:t>
      </w:r>
    </w:p>
    <w:p w:rsidR="00224E4B" w:rsidRPr="00A0114C" w:rsidRDefault="00224E4B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CA14E3" w:rsidRPr="00A0114C" w:rsidRDefault="005310E2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Результаты исследования</w:t>
      </w:r>
    </w:p>
    <w:p w:rsidR="00224E4B" w:rsidRPr="00A0114C" w:rsidRDefault="00224E4B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iCs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bCs/>
          <w:i/>
          <w:iCs/>
          <w:snapToGrid w:val="0"/>
          <w:color w:val="000000" w:themeColor="text1"/>
          <w:sz w:val="24"/>
          <w:szCs w:val="24"/>
        </w:rPr>
        <w:t>Эксперимент 1.</w:t>
      </w:r>
      <w:r w:rsidRPr="00A0114C">
        <w:rPr>
          <w:rFonts w:ascii="Times New Roman" w:hAnsi="Times New Roman" w:cs="Times New Roman"/>
          <w:bCs/>
          <w:i/>
          <w:iCs/>
          <w:snapToGrid w:val="0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 xml:space="preserve">Целью этого эксперимента было изучение влияния различных количеств </w:t>
      </w:r>
      <w:proofErr w:type="spellStart"/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(1 г/л, 10 г/л, 100 г/л)</w:t>
      </w:r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 xml:space="preserve"> на численность гетеротрофных бактерий в аквариумной воде</w:t>
      </w:r>
      <w:r w:rsidRPr="00A0114C">
        <w:rPr>
          <w:rFonts w:ascii="Times New Roman" w:hAnsi="Times New Roman" w:cs="Times New Roman"/>
          <w:b/>
          <w:bCs/>
          <w:iCs/>
          <w:snapToGrid w:val="0"/>
          <w:color w:val="000000" w:themeColor="text1"/>
          <w:sz w:val="24"/>
          <w:szCs w:val="24"/>
        </w:rPr>
        <w:t>.</w:t>
      </w:r>
    </w:p>
    <w:p w:rsidR="00CA14E3" w:rsidRPr="00A0114C" w:rsidRDefault="00CA14E3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Значение</w:t>
      </w:r>
      <w:r w:rsidR="0068371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ЧБ в воде, взятой перед началом эксперимента из аквариума</w:t>
      </w:r>
      <w:r w:rsidR="005C09B7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(11.01.2017 г.)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составляло 0.53±0.01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/мл. Через сутки после начала эксперимента (12.01.2017 г.) </w:t>
      </w:r>
      <w:r w:rsidR="0068371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величина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ЧБ в контрольной колбе (без добавления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) увеличилась в 3 раза и достигла 1.54±0.02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/мл. Наибольшее возрастание численности бактерий при сравнении трех вариантов опыта наблюдалось в колбе с </w:t>
      </w:r>
      <w:bookmarkStart w:id="1" w:name="_Hlk479792915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содержанием</w:t>
      </w:r>
      <w:bookmarkEnd w:id="1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10 г/л, а наименьшее - в варианте с содержание</w:t>
      </w:r>
      <w:r w:rsidR="00A0114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м </w:t>
      </w:r>
      <w:proofErr w:type="spellStart"/>
      <w:r w:rsidR="00A0114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A0114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100 г/л  - 1.07±0.01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 (рис. 1). </w:t>
      </w:r>
    </w:p>
    <w:p w:rsidR="00CA14E3" w:rsidRPr="00A0114C" w:rsidRDefault="004D599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На второй день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эксперимента численность бактерий в контрольном варианте хотя и увеличилась, но незначительно - до 1.73±</w:t>
      </w:r>
      <w:r w:rsidR="0068371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0.02 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млн.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/мл. В то же время во всех трех вариантах опыта, в которых присутствовал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произошло резкое возрастание ЧБ, причем особенно заметно рост численности микроорганизмов </w:t>
      </w:r>
      <w:bookmarkStart w:id="2" w:name="_Hlk479782437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(до 3.39±0.01  млн.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/мл) </w:t>
      </w:r>
      <w:bookmarkEnd w:id="2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был выражен в колбе с содержанием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10 г/л</w:t>
      </w:r>
      <w:r w:rsidR="00C42D3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(рис. 1)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CA14E3" w:rsidRPr="00A0114C" w:rsidRDefault="00CA14E3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4E3" w:rsidRPr="00A0114C" w:rsidRDefault="004C0DC0" w:rsidP="008D2D76">
      <w:pPr>
        <w:keepNext/>
        <w:spacing w:line="288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011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57526" cy="3001251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63" cy="300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E3" w:rsidRPr="00A0114C" w:rsidRDefault="00CA14E3" w:rsidP="005278D2">
      <w:pPr>
        <w:tabs>
          <w:tab w:val="left" w:pos="8080"/>
        </w:tabs>
        <w:spacing w:line="288" w:lineRule="auto"/>
        <w:ind w:left="709" w:right="1275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Рис. 1. Изменение численности бактериальных клеток в аквариумной воде </w:t>
      </w:r>
      <w:r w:rsidR="00764201"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результате внесения </w:t>
      </w:r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различных </w:t>
      </w:r>
      <w:r w:rsidR="00764201"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количеств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 время краткосрочного эксперимента 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in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vitro</w:t>
      </w:r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4E3" w:rsidRPr="00A0114C" w:rsidRDefault="00C42D38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пятый</w:t>
      </w:r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</w:t>
      </w:r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эксперимента как в контроле, так и в трех опытных вариантах эксперимента с разным 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содержанием</w:t>
      </w:r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шунгита</w:t>
      </w:r>
      <w:proofErr w:type="spellEnd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наблюдалось снижение ЧБ. В контрольном варианте без </w:t>
      </w:r>
      <w:proofErr w:type="spellStart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шунгита</w:t>
      </w:r>
      <w:proofErr w:type="spellEnd"/>
      <w:r w:rsidR="00CA14E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снизилась до 0.81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±0.01 млн.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 и практически приблизилась к значению ЧБ в аквариумной воде, наблюдавшемуся до начала эксперимента. Во всех трех колбах с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шунгитом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численность бактерий также значительно снизилась по сравнению со значениями ЧБ, наблюдавшимися в них на третьи сутки, однако она все еще продолжала оставаться выше исходных значений ЧБ, наблюдавшихся в аквариумной воде до начала эксперимента (рис. 1). При этом наиболее высокие значения ЧБ (2.25±0.004 млн.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/мл) были отмечены в варианте с содержанием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10 г/л.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Таким образом, в пятисуточном эксперименте все три исследованные нами концентрации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 г/л, 10 г/л, 100 г/л) продемонстрировали выраженное стимулирующее воздействие на численность гетеротрофного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бактериоценоза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аквариумной воды. В максимальной степени оно проявлялось на вторые сутки эксперимента в опыте с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содержанием</w:t>
      </w:r>
      <w:r w:rsidR="005877B0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77B0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шунгита</w:t>
      </w:r>
      <w:proofErr w:type="spellEnd"/>
      <w:r w:rsidR="005877B0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г/л. 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iCs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bCs/>
          <w:i/>
          <w:iCs/>
          <w:snapToGrid w:val="0"/>
          <w:color w:val="000000" w:themeColor="text1"/>
          <w:sz w:val="24"/>
          <w:szCs w:val="24"/>
        </w:rPr>
        <w:t>Эксперимент 2.</w:t>
      </w:r>
      <w:r w:rsidRPr="00A0114C">
        <w:rPr>
          <w:rFonts w:ascii="Times New Roman" w:hAnsi="Times New Roman" w:cs="Times New Roman"/>
          <w:bCs/>
          <w:i/>
          <w:iCs/>
          <w:snapToGrid w:val="0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 xml:space="preserve">Его целью было повторное изучение влияния </w:t>
      </w:r>
      <w:proofErr w:type="spellStart"/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 xml:space="preserve"> в количестве</w:t>
      </w:r>
      <w:r w:rsidRPr="00A011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10 г/л </w:t>
      </w:r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 xml:space="preserve">на численность гетеротрофного </w:t>
      </w:r>
      <w:proofErr w:type="spellStart"/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>бактериоценоза</w:t>
      </w:r>
      <w:proofErr w:type="spellEnd"/>
      <w:r w:rsidRPr="00A0114C">
        <w:rPr>
          <w:rFonts w:ascii="Times New Roman" w:hAnsi="Times New Roman" w:cs="Times New Roman"/>
          <w:bCs/>
          <w:iCs/>
          <w:snapToGrid w:val="0"/>
          <w:color w:val="000000" w:themeColor="text1"/>
          <w:sz w:val="24"/>
          <w:szCs w:val="24"/>
        </w:rPr>
        <w:t xml:space="preserve"> аквариумной воды для подтверждения его стимулирующего действия на этот показатель</w:t>
      </w:r>
      <w:r w:rsidRPr="00A0114C">
        <w:rPr>
          <w:rFonts w:ascii="Times New Roman" w:hAnsi="Times New Roman" w:cs="Times New Roman"/>
          <w:b/>
          <w:bCs/>
          <w:iCs/>
          <w:snapToGrid w:val="0"/>
          <w:color w:val="000000" w:themeColor="text1"/>
          <w:sz w:val="24"/>
          <w:szCs w:val="24"/>
        </w:rPr>
        <w:t>.</w:t>
      </w:r>
    </w:p>
    <w:p w:rsidR="00CA14E3" w:rsidRPr="00A0114C" w:rsidRDefault="00CA14E3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000000" w:themeColor="text1"/>
          <w:sz w:val="24"/>
          <w:szCs w:val="24"/>
        </w:rPr>
      </w:pPr>
    </w:p>
    <w:p w:rsidR="00CA14E3" w:rsidRPr="00A0114C" w:rsidRDefault="0068371C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Величина 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ЧБ в исходной аквариумной воде, которая была разлита в колбы перед началом эксперимента</w:t>
      </w:r>
      <w:r w:rsidR="00583F9A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была близка к таковой в первом эксперименте и составляла 0.51±0.01 млн.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/мл. Через сутки после начала эксперимента численность бактерий в контрольной колбе (аквариумная вода без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) увеличилась в 4.5 раза и составила 2.38±0.02 млн.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/мл. В колбе с содержанием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10 г/л ЧБ через сутки возросла в 8 раз и составила 4.0±0.01 млн.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/мл. Наибольшее возрастание численности бактерий в варианте с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шунгитом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наблюдалось, также как и в первом опыте, на вторые сутки эксперимента. Величина ЧБ при этом достигла 10.65±0.01 млн</w:t>
      </w:r>
      <w:r w:rsidR="00680EF6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 и более чем в 20 раз превысила значение ОЧБ, обнаруженное в контрольном варианте опыта (без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). Кроме того, она почти в 3 раза превысила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величину </w:t>
      </w:r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ЧБ, отмеченную в аналогичном варианте опыта в первом эксперименте - 3.39±0.01 млн.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/мл. В то же время в контрольном варианте без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численность микроорганизмов на вторые сутки составила всего 2.66±</w:t>
      </w:r>
      <w:proofErr w:type="gram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0.01  млн</w:t>
      </w:r>
      <w:proofErr w:type="gram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 </w:t>
      </w:r>
      <w:bookmarkStart w:id="3" w:name="_Hlk479782004"/>
      <w:r w:rsidR="00CA14E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(рис. 2). </w:t>
      </w:r>
      <w:bookmarkEnd w:id="3"/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На третьи сутки эксперимента в обоих вариантах наблюдалось незначительное снижение численности микроорганизмов. 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На пятые сутки эксперимента численность бактерий в варианте с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шунгитом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(10 г/л) еще несколько снизилась - до 8.07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/мл, однако она все еще превышала стартовое значение этого параметра (0.51±</w:t>
      </w:r>
      <w:r w:rsidR="0068371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0.01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/мл) почти в 16 раз. В контрольном варианте опыта численность бактерий в конце эксперимента составила 5.23±0.02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/мл, т.е. она увеличилась в 10 раз по сравнению со значением ЧБ, определенным до начала эксперимента, чего не наблюдалось на пятые сутки в контрольном варианте первого эксперимента.</w:t>
      </w:r>
      <w:r w:rsidR="00E52C3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35627E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екоторое расхождение результатов первого и второго экспериментов по зна</w:t>
      </w:r>
      <w:r w:rsidR="0068371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чениям </w:t>
      </w:r>
      <w:r w:rsidR="0035627E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ЧБ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можно объяснить более высокой температурой </w:t>
      </w:r>
      <w:r w:rsidR="008639E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аквариумной воды во второй половине марта 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(около 23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vertAlign w:val="superscript"/>
        </w:rPr>
        <w:t>о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С), по сравнению с температурой </w:t>
      </w:r>
      <w:r w:rsidR="008639E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воды 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во время 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>первого эксперимента – в январе (около 1</w:t>
      </w:r>
      <w:r w:rsidR="008639E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0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vertAlign w:val="superscript"/>
        </w:rPr>
        <w:t>о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С).</w:t>
      </w:r>
      <w:r w:rsidR="00E52C39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</w:t>
      </w:r>
      <w:r w:rsidR="0026497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известно, что интенсивность </w:t>
      </w:r>
      <w:r w:rsidR="009726AA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размножения 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гетеротрофных микроорганизмов </w:t>
      </w:r>
      <w:r w:rsidR="0026497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значительной мере зависит от доступности </w:t>
      </w:r>
      <w:proofErr w:type="spellStart"/>
      <w:r w:rsidR="0026497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легкоокисляемого</w:t>
      </w:r>
      <w:proofErr w:type="spellEnd"/>
      <w:r w:rsidR="0026497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органического вещества, </w:t>
      </w:r>
      <w:r w:rsidR="00455086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26497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источником являются экссудаты фитопланктона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26AA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9726AA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исленность 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которого в аквариумной воде </w:t>
      </w:r>
      <w:r w:rsidR="009726AA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увеличивается 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726AA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наступлени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9726AA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весны.</w:t>
      </w:r>
      <w:r w:rsidR="0026497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FDE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есмотря на то, что эксперимент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ись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комнатных условиях, биологические и сезонные факторы 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очень существенно влияли</w:t>
      </w:r>
      <w:r w:rsidR="0070104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возрастание 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численности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бактериопланктона</w:t>
      </w:r>
      <w:proofErr w:type="spellEnd"/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марте по сравнению с </w:t>
      </w:r>
      <w:r w:rsidR="009E22F7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январским экспериментом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3949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Во втором эксперименте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стимулирующий эффект от внесения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количестве 10 г/л на численность гетеротрофного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бактериоценоза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аквариумной воды полностью подтвердился и оказался даже более выраженным, чем в первом эксперименте. Эффект стимулирования особенно ярко </w:t>
      </w:r>
      <w:r w:rsidR="008639E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был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выражен на вторые сутки эксперимента</w:t>
      </w:r>
      <w:r w:rsidR="008639E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 Таким образом, </w:t>
      </w:r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благоприятных условиях среды </w:t>
      </w:r>
      <w:proofErr w:type="spellStart"/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</w:t>
      </w:r>
      <w:proofErr w:type="spellEnd"/>
      <w:r w:rsidR="008639E8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более интенсивно стимулировать рост численности бактери</w:t>
      </w:r>
      <w:r w:rsidR="004B491E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CA14E3" w:rsidRPr="00A0114C" w:rsidRDefault="00CA14E3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CA14E3" w:rsidRPr="00A0114C" w:rsidRDefault="00C42D38" w:rsidP="008D2D76">
      <w:pPr>
        <w:keepNext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906368" cy="3186376"/>
            <wp:effectExtent l="19050" t="0" r="8532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86" cy="31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E3" w:rsidRPr="00A0114C" w:rsidRDefault="00CA14E3" w:rsidP="008D2D76">
      <w:pPr>
        <w:spacing w:line="288" w:lineRule="auto"/>
        <w:ind w:left="709" w:right="991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Рис. 2. Изменение численности бактериальных клеток в аквариумной воде под влиянием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ко</w:t>
      </w:r>
      <w:r w:rsidR="00B44029"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личестве </w:t>
      </w:r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 г/л во время краткосрочного эксперимента 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in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vitro</w:t>
      </w:r>
    </w:p>
    <w:p w:rsidR="00CA14E3" w:rsidRPr="00A0114C" w:rsidRDefault="00CA14E3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4074BD" w:rsidRPr="00A0114C" w:rsidRDefault="004074BD" w:rsidP="008D2D7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  <w:t>Эксперимент 3.</w:t>
      </w:r>
      <w:r w:rsidRPr="00A0114C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Его целью было оценить влияние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внесенного в количестве 10 г/л, на способность бактерий восстанавливать свою численность после действия антибиотиков.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Для проведения этого эксперимента нами были предварительно подобраны такие действующие концентрации двух антибиотиков -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ванкомицина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и пенициллина, которые оказывали выраженное бактериостатическое действие на гетеротрофный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бактериоценоз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аквариумной воды. Они составили 100 мг/л и 5 мг/л соответственно. Через сутки после внесения смеси этих антибиотиков, величина ЧБ в аквариумной воде с антибиотиками снизилась до 0.04±0.001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/мл, т.е. более чем в 10 раз по сравнению со стартовыми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 xml:space="preserve">значениями этого параметра (0.51±0.01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/мл). В варианте «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10 г/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л+антибиотики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» численность бактериальных клеток через сутки после внесения антибиотиков тоже снизилась и составила 0.3±0.01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/мл, т.е. оказалась почти в 8 раз выше, чем в варианте «Антибиотики» с внесением только антибиотиков без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(рис. 3). 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 д</w:t>
      </w:r>
      <w:r w:rsidR="0068371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альнейшем величина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ЧБ в варианте «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10 г/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л+антибиотики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» последовательно, хотя и медленно, возрастала и в конце эксперимента, на шестые сутки, составила 0.81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/мл, что в 1,6 раза превысило исходное значение ЧБ, наблюдавшееся в самом начале эксперимента (0.51±0.01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/мл). В тоже время в варианте «Антибиотики» </w:t>
      </w:r>
      <w:r w:rsidR="0068371C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величина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ЧБ оставалась низкой и лишь к</w:t>
      </w:r>
      <w:r w:rsidR="00FC7848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концу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эксперимента несколько повысилась - до 0.26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/ мл, что, однако, было практически в два раза ниже стартовой величины ОЧБ (0.51±0.01 млн.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кл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/мл).</w:t>
      </w:r>
    </w:p>
    <w:p w:rsidR="0068371C" w:rsidRPr="00A0114C" w:rsidRDefault="0068371C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68371C" w:rsidRPr="00A0114C" w:rsidRDefault="0068371C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68371C" w:rsidRPr="00A0114C" w:rsidRDefault="00C23D4A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13472" cy="336028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26" cy="336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E3" w:rsidRPr="00A0114C" w:rsidRDefault="00CA14E3" w:rsidP="008D2D76">
      <w:pPr>
        <w:keepNext/>
        <w:spacing w:line="288" w:lineRule="auto"/>
        <w:ind w:left="709" w:right="28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Рис. 3. Изменение численности бактериальных клеток в аквариумной воде под влиянием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количестве 10 г/л и антибиотиков во время краткосрочного эксперимента 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in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vitro</w:t>
      </w:r>
    </w:p>
    <w:p w:rsidR="00C23D4A" w:rsidRPr="00A0114C" w:rsidRDefault="00C23D4A" w:rsidP="008D2D76">
      <w:pPr>
        <w:keepNext/>
        <w:spacing w:line="288" w:lineRule="auto"/>
        <w:ind w:left="709" w:right="28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4E3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Таким образом, внесение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количестве 10 г/л совместно с антибиотиками, по-видимому, оказывает защитное действие на гетеротрофных бактерий, и это позволяет </w:t>
      </w:r>
      <w:r w:rsidR="007F103B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микроорганизмам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сохранить более высокую численность по сравнению с тем вариантом опыта, в котором присутствовали только антибиотики и отсутствовал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866B09" w:rsidRDefault="00866B09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866B09" w:rsidRPr="00A0114C" w:rsidRDefault="00866B09" w:rsidP="00866B09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</w:t>
      </w:r>
      <w:proofErr w:type="spellEnd"/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минерал, основой которого является углерод, причем часто этот элемент присутствует в </w:t>
      </w:r>
      <w:proofErr w:type="spellStart"/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шунгитах</w:t>
      </w:r>
      <w:proofErr w:type="spellEnd"/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особом агрегатном состоянии, в виде глобул – фуллеренов [7, 10]. Впервые фуллерены были обнаружены в составе </w:t>
      </w:r>
      <w:proofErr w:type="spellStart"/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шунгитов</w:t>
      </w:r>
      <w:proofErr w:type="spellEnd"/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1992 г. [10]. Известно, что фуллерены могут встраиваться в биологические мембраны, влиять на их структуру, изменять каталитическую активность мембранных ферментов [8, 9]. </w:t>
      </w:r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Помимо углерода в состав </w:t>
      </w:r>
      <w:proofErr w:type="spellStart"/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шунгитов</w:t>
      </w:r>
      <w:proofErr w:type="spellEnd"/>
      <w:r w:rsidRPr="00866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входят кремний, алюминий, железо, магний, калий, сера, кальций, фосфор и др. [7].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6B09" w:rsidRPr="00A0114C" w:rsidRDefault="00866B09" w:rsidP="008D2D7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благоприятном воздействии на многие организмы воды, пропущенной через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известно уже давно 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[7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</w:t>
      </w:r>
      <w:r w:rsidR="00FD1A39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 не менее,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влияние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такую важную группу гидробионтов, как</w:t>
      </w:r>
      <w:r w:rsidR="005D79DD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микроорганизмы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среди которых могут встречаться и потенциально патогенные</w:t>
      </w:r>
      <w:r w:rsidR="005D79DD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бактерии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исследовано недостаточно. Недавно было показано, что с помощью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инактивировать повреждающее действие на рост </w:t>
      </w:r>
      <w:r w:rsidR="005D79DD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микро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водорослей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синглетного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кислорода, образующегося в присутствии фотосенсибилизаторов, которые увеличивают чувствительность водорослей к повреждающему действию света [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Также было показано влияние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защиту ракообразных и микроводорослей от токсического действия бихромата калия [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1, 2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Имеются отдельные сведения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применении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«улучшения качества» воды, в частности для её обеззараживания</w:t>
      </w:r>
      <w:r w:rsidR="009015FF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патогенных микроорганизмов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4, 5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D1A39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Однако, н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аши исследования не подтвердили эффективности применения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широком диапазоне вносимых количеств (от 1 до 100 г/л) для обеззараживания аквариумной воды от гетеротрофных</w:t>
      </w:r>
      <w:r w:rsidR="00F55ACB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бактер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ий. Данный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бактериоценоз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проведения экспериментов с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шунгитом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выбран совсем не случайно. В его состав входят представители самых разнообразных физиологических групп бактерий, поскольку известно, что аквариум является близким аналогом природного водоема. </w:t>
      </w:r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Предполагаемое</w:t>
      </w:r>
      <w:r w:rsidR="00C914EF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ингибирование численности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бактерий</w:t>
      </w:r>
      <w:r w:rsidR="00C914EF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присутствии </w:t>
      </w:r>
      <w:proofErr w:type="spellStart"/>
      <w:r w:rsidR="00C914EF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таким образом, обеззараживание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воды, </w:t>
      </w:r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было обнаружено</w:t>
      </w:r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Напротив</w:t>
      </w:r>
      <w:proofErr w:type="gramEnd"/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экспериментах наблюдалось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стимулирующее действие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численность микроорганизмов в воде, причем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внесении его в</w:t>
      </w:r>
      <w:r w:rsidR="00E71ECA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количествах,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различающихся на два порядка от 1 г/л до 100 </w:t>
      </w:r>
      <w:bookmarkStart w:id="4" w:name="_Hlk479793782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г/л</w:t>
      </w:r>
      <w:bookmarkEnd w:id="4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Возможно, способность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обеззараживанию воды, доложенная в работе [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], была связана с большой толщиной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шунгитового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слоя в использованном ими фильтре, тогда как в наших экспериментах поверхность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контактирующая с водой, условиями проведения эксперимента была ограничена. Обнаруженное нами стимулирующее влияние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внесенного в экспериментальные емкости в количествах от 1 до 100 г/л, на развитие водного гетеротрофного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бактериоценоза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можно объяснить положительным воздействием на бактерий фуллеренов, которые входят в состав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Известно, что фуллерены могут встраиваться в биологические мембраны, влиять на их структуру и изменять каталитическую активность мембранных ферментов. При этом механизмы биологического действия фуллеренов зависят от их агрегатного состояния [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9, 10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]. Проведенные к настоящему времени научные исследования показывают, что характер воздействия фуллеренов на биологические объекты зависит от способов получения и чистоты этих молекулярных соединений. Разнонаправленное действие фуллеренов на биологические объекты объясняется, как полагают, особыми свойствами водных сферических оболочек этих соединений [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8, 10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</w:t>
      </w:r>
    </w:p>
    <w:p w:rsidR="00CA14E3" w:rsidRPr="00A0114C" w:rsidRDefault="00CA14E3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отдаем себе отчет в том, что результаты наших исследований во многом носят лишь предварительный характер, а проведенные эксперименты требуют дальнейшего развития. Однако, по нашему мнению, полученных данных уже достаточно для того, чтобы с большой осторожностью относиться к широко рекламируемым, но не прошедшим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необходимых испытаний препаратам, особенно к тем, которые предлагаются </w:t>
      </w:r>
      <w:r w:rsidR="007674B7"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оздоровительных целях населения и для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«улучшения» качества такого жизненно необходимого для человека продукта, как питьевая вода.</w:t>
      </w:r>
    </w:p>
    <w:p w:rsidR="0035627E" w:rsidRPr="002B3DE2" w:rsidRDefault="0035627E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114C" w:rsidRPr="002B3DE2" w:rsidRDefault="00A0114C" w:rsidP="008D2D76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627E" w:rsidRPr="00A0114C" w:rsidRDefault="0035627E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114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Выводы:</w:t>
      </w:r>
    </w:p>
    <w:p w:rsidR="0035627E" w:rsidRPr="00A0114C" w:rsidRDefault="0035627E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5627E" w:rsidRPr="00A0114C" w:rsidRDefault="00275076" w:rsidP="0035627E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Результаты п</w:t>
      </w:r>
      <w:r w:rsidR="0014221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роведенны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х</w:t>
      </w:r>
      <w:r w:rsidR="0014221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эксперимент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ов</w:t>
      </w:r>
      <w:r w:rsidRPr="00A0114C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  <w:lang w:val="en-US"/>
        </w:rPr>
        <w:t>in</w:t>
      </w:r>
      <w:r w:rsidRPr="00A0114C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 xml:space="preserve"> </w:t>
      </w:r>
      <w:r w:rsidRPr="00A0114C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  <w:lang w:val="en-US"/>
        </w:rPr>
        <w:t>vitro</w:t>
      </w:r>
      <w:r w:rsidR="00142213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35627E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позволяют сделать вывод о наличии стимулирующего влияния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количествах </w:t>
      </w:r>
      <w:r w:rsidR="0035627E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1 г/л, 10 г/л и 100 г/л на численность гетеротрофных бактерий </w:t>
      </w: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 аквариумной воде</w:t>
      </w:r>
      <w:r w:rsidR="0035627E" w:rsidRPr="00A0114C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>.</w:t>
      </w:r>
    </w:p>
    <w:p w:rsidR="003B2DA8" w:rsidRPr="00A0114C" w:rsidRDefault="003B2DA8" w:rsidP="003B2DA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 наибольшей степени численность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бактериопланктона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увеличивалась при внесении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количестве 10 г/л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61F" w:rsidRPr="00A0114C" w:rsidRDefault="003B2DA8" w:rsidP="00CD361F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Внесение </w:t>
      </w:r>
      <w:proofErr w:type="spellStart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количестве 10 г/л совместно с антибиотиками, по-видимому, </w:t>
      </w:r>
      <w:r w:rsidR="004041B1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защищает гетеротрофный </w:t>
      </w:r>
      <w:proofErr w:type="spellStart"/>
      <w:r w:rsidR="004041B1"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бактериопланктон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от воздействия антибиотиков.</w:t>
      </w:r>
    </w:p>
    <w:p w:rsidR="00CD361F" w:rsidRPr="00A0114C" w:rsidRDefault="00097177" w:rsidP="0035627E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Необходимо с большой осторожностью относиться к не прошедшим научных испытаний, но широко рекламируемым препаратам для оздоровительных целей населения, а также для улучшения качества воды. </w:t>
      </w:r>
    </w:p>
    <w:p w:rsidR="0035627E" w:rsidRPr="002B3DE2" w:rsidRDefault="0035627E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A342B" w:rsidRPr="002B3DE2" w:rsidRDefault="009A342B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A342B" w:rsidRPr="002B3DE2" w:rsidRDefault="009A342B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A342B" w:rsidRPr="002B3DE2" w:rsidRDefault="009A342B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A342B" w:rsidRPr="002B3DE2" w:rsidRDefault="009A342B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114C" w:rsidRPr="002B3DE2" w:rsidRDefault="00A0114C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07E2" w:rsidRPr="002B3DE2" w:rsidRDefault="008E07E2" w:rsidP="008D2D76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A342B" w:rsidRPr="00A0114C" w:rsidRDefault="009A342B" w:rsidP="008E07E2">
      <w:pPr>
        <w:keepNext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Литература:</w:t>
      </w:r>
    </w:p>
    <w:p w:rsidR="009A342B" w:rsidRPr="00A0114C" w:rsidRDefault="009A342B" w:rsidP="00A0114C">
      <w:pPr>
        <w:keepNext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</w:p>
    <w:p w:rsidR="009A342B" w:rsidRPr="00A0114C" w:rsidRDefault="009A342B" w:rsidP="009A342B">
      <w:pPr>
        <w:pStyle w:val="aa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Даллакян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Г.А., Погосян С.И., Ипатова В.И. и др.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Инактивация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токсического действия бихромата калия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шунгитом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присутствии микроводорослей // Токсикологический вестник. 2014. № 5. С. 39-44. </w:t>
      </w:r>
    </w:p>
    <w:p w:rsidR="009A342B" w:rsidRPr="00A0114C" w:rsidRDefault="009A342B" w:rsidP="009A342B">
      <w:pPr>
        <w:pStyle w:val="aa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Даллакян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Г.А., Исакова Е.Ф., Гершкович Д.М.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Действие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ракообразных и его влияние на токсичность бихромата калия // Токсикологический вестник. 2016. Т. 140. № 5. С. 53–58.</w:t>
      </w:r>
    </w:p>
    <w:p w:rsidR="009A342B" w:rsidRPr="00A0114C" w:rsidRDefault="009A342B" w:rsidP="009A342B">
      <w:pPr>
        <w:pStyle w:val="aa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Даллакян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Г.А.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 популяции микроводорослей в условиях питательных сред, обогащенных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синглетным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кислородом // Известия РАН. Серия биол. 1998. № 6. С. 751-753. </w:t>
      </w:r>
    </w:p>
    <w:p w:rsidR="009A342B" w:rsidRPr="00A0114C" w:rsidRDefault="009A342B" w:rsidP="009A342B">
      <w:pPr>
        <w:pStyle w:val="aa"/>
        <w:keepNext/>
        <w:numPr>
          <w:ilvl w:val="0"/>
          <w:numId w:val="6"/>
        </w:numPr>
        <w:snapToGrid w:val="0"/>
        <w:spacing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Дриаева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М.Д., </w:t>
      </w: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Сыпченко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А.Я., </w:t>
      </w: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Туктамышев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И.Ш. и др.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влияния свойств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микроорганизмы // </w:t>
      </w:r>
      <w:hyperlink r:id="rId11" w:tooltip="Оглавления выпусков этого журнала" w:history="1">
        <w:r w:rsidRPr="00A0114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Вестник новых медицинских технологий</w:t>
        </w:r>
      </w:hyperlink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2003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. Т. 10, №4, стр. 60-61</w:t>
      </w:r>
    </w:p>
    <w:p w:rsidR="009A342B" w:rsidRPr="00A0114C" w:rsidRDefault="009A342B" w:rsidP="009A342B">
      <w:pPr>
        <w:pStyle w:val="aa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Дюккиев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Е.Ф., Калинин Ю.К. и др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Перспективы использования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шунгитовых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пород при водоочистке и водоподготовке // В кн.: Геология и охрана недр Карелии. Петрозаводск. 1992. С. 20-42.</w:t>
      </w:r>
    </w:p>
    <w:p w:rsidR="009A342B" w:rsidRPr="00A0114C" w:rsidRDefault="009A342B" w:rsidP="009A342B">
      <w:pPr>
        <w:pStyle w:val="aa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Ильинский В.В.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Гетеротрофный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бактериопланктон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В кн. Практическая гидробиология: Учеб. для студ. биол. спец. университетов / Под ред.  Федорова В.Д. и 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Капкова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 М.: ПИМ. 2006. С.331-365.</w:t>
      </w:r>
    </w:p>
    <w:p w:rsidR="009A342B" w:rsidRPr="00A0114C" w:rsidRDefault="009A342B" w:rsidP="009A342B">
      <w:pPr>
        <w:pStyle w:val="aa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Каленин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Ю.К.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Экологический потенциал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шунгита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Наука в России. 2008. № 6. С. 39-44.</w:t>
      </w:r>
    </w:p>
    <w:p w:rsidR="009A342B" w:rsidRPr="00A0114C" w:rsidRDefault="009A342B" w:rsidP="009A342B">
      <w:pPr>
        <w:pStyle w:val="aa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Пиотровский Л.Б., Еропкин М.Ю., Еропкина Е.М. и др.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Механизмы биологического действия фуллеренов - зависимость от агрегатного состояния //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Психофармакол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биол.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наркол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2007. Т. 7. №. 2. С. 1548-1554.</w:t>
      </w:r>
    </w:p>
    <w:p w:rsidR="008E07E2" w:rsidRDefault="009A342B" w:rsidP="008E07E2">
      <w:pPr>
        <w:pStyle w:val="aa"/>
        <w:keepNext/>
        <w:numPr>
          <w:ilvl w:val="0"/>
          <w:numId w:val="6"/>
        </w:numPr>
        <w:snapToGrid w:val="0"/>
        <w:spacing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Ширинкин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С.В., Шапошников А.А., Волкова Т.О. и др.</w:t>
      </w:r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12" w:history="1">
        <w:r w:rsidRPr="00A011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Гидратированный фуллерен, как инструмент для понимания роли особых структурных свойств водной среды живого организма для его нормального функционирования</w:t>
        </w:r>
      </w:hyperlink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3" w:history="1">
        <w:r w:rsidRPr="00A011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Научные ведомости белгородского государственного университета. Серия: медицина-фармация</w:t>
        </w:r>
      </w:hyperlink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2015.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31,</w:t>
      </w:r>
      <w:r w:rsidRPr="00A011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10" name="Рисунок 10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№</w:t>
      </w:r>
      <w:r w:rsidRPr="008E07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  <w:r w:rsidRPr="008E07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(213)</w:t>
      </w:r>
      <w:r w:rsidRPr="008E07E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.</w:t>
      </w:r>
      <w:r w:rsidRPr="00A011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11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20-30</w:t>
      </w:r>
      <w:r w:rsidRPr="008E07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E07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E07E2" w:rsidRPr="008E07E2" w:rsidRDefault="008E07E2" w:rsidP="008E07E2">
      <w:pPr>
        <w:pStyle w:val="aa"/>
        <w:keepNext/>
        <w:numPr>
          <w:ilvl w:val="0"/>
          <w:numId w:val="6"/>
        </w:numPr>
        <w:snapToGrid w:val="0"/>
        <w:spacing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Buseck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P.R., </w:t>
      </w: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Tsipursky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S.J., </w:t>
      </w: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Hettich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R.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Fullerenes from the geological environment // </w:t>
      </w:r>
      <w:hyperlink r:id="rId15" w:tgtFrame="_blank" w:history="1">
        <w:r w:rsidRPr="00A0114C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Science. 1992. V. 257 (5067). P. 215-217</w:t>
        </w:r>
      </w:hyperlink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 w:rsidR="008E07E2" w:rsidRPr="00A0114C" w:rsidRDefault="008E07E2" w:rsidP="008E07E2">
      <w:pPr>
        <w:pStyle w:val="aa"/>
        <w:keepNext/>
        <w:numPr>
          <w:ilvl w:val="0"/>
          <w:numId w:val="6"/>
        </w:numPr>
        <w:snapToGrid w:val="0"/>
        <w:spacing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Sherr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, B., </w:t>
      </w:r>
      <w:proofErr w:type="spellStart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Sherr</w:t>
      </w:r>
      <w:proofErr w:type="spellEnd"/>
      <w:r w:rsidRPr="00A011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, E., Andrew T. et al.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Trophic interactions between heterotrophic Protozoa and 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bacterioplankton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in estuarine water analyzed with selective metabolic inhibitors // Marine Ecology – Progress Series. 1986. V. 32. P. 169-179.</w:t>
      </w:r>
    </w:p>
    <w:p w:rsidR="008E08D5" w:rsidRDefault="008E08D5" w:rsidP="00533299">
      <w:pPr>
        <w:keepNext/>
        <w:snapToGrid w:val="0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531C04" w:rsidRPr="00A0114C" w:rsidRDefault="00531C04" w:rsidP="00533299">
      <w:pPr>
        <w:keepNext/>
        <w:snapToGrid w:val="0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0114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Контактная информация:</w:t>
      </w:r>
    </w:p>
    <w:p w:rsidR="008E08D5" w:rsidRPr="002B3DE2" w:rsidRDefault="00531C04" w:rsidP="008E08D5">
      <w:pPr>
        <w:keepNext/>
        <w:snapToGrid w:val="0"/>
        <w:spacing w:line="240" w:lineRule="auto"/>
        <w:ind w:left="284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Мошарова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Викторовна, +7(910)474-9717 – мобильный. 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history="1">
        <w:r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ivmpost</w:t>
        </w:r>
        <w:r w:rsidRPr="002B3D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2B3D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08D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Mosharova</w:t>
      </w:r>
      <w:proofErr w:type="spellEnd"/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08D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Irina</w:t>
      </w:r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08D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Viktorovna</w:t>
      </w:r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+7(910)474-9717 – </w:t>
      </w:r>
      <w:r w:rsidR="008E08D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mobile</w:t>
      </w:r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8D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phone</w:t>
      </w:r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E08D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08D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8E08D5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ivmpost</w:t>
        </w:r>
        <w:r w:rsidR="008E08D5" w:rsidRPr="002B3D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8E08D5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8E08D5" w:rsidRPr="002B3D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8E08D5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8E08D5" w:rsidRPr="002B3D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1C04" w:rsidRPr="002B3DE2" w:rsidRDefault="00531C04" w:rsidP="008E07E2">
      <w:pPr>
        <w:spacing w:line="240" w:lineRule="auto"/>
        <w:ind w:left="284" w:right="28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8AA" w:rsidRPr="002B3DE2" w:rsidRDefault="002528AA" w:rsidP="00947681">
      <w:pPr>
        <w:keepNext/>
        <w:snapToGrid w:val="0"/>
        <w:spacing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2EAE" w:rsidRPr="002B3DE2" w:rsidRDefault="008C2EAE" w:rsidP="00947681">
      <w:pPr>
        <w:keepNext/>
        <w:snapToGrid w:val="0"/>
        <w:spacing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8D5" w:rsidRPr="002B3DE2" w:rsidRDefault="008E08D5" w:rsidP="00947681">
      <w:pPr>
        <w:keepNext/>
        <w:snapToGrid w:val="0"/>
        <w:spacing w:line="288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0D31" w:rsidRPr="00A0114C" w:rsidRDefault="00531C04" w:rsidP="008D2D76">
      <w:pPr>
        <w:spacing w:line="288" w:lineRule="auto"/>
        <w:ind w:right="-1" w:firstLine="709"/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</w:pPr>
      <w:r w:rsidRPr="00A0114C"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  <w:t>Сведения об авторах</w:t>
      </w:r>
      <w:r w:rsidR="00120D31" w:rsidRPr="00A0114C"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  <w:t>:</w:t>
      </w:r>
    </w:p>
    <w:p w:rsidR="00531C04" w:rsidRPr="00A0114C" w:rsidRDefault="00531C04" w:rsidP="008D2D76">
      <w:pPr>
        <w:spacing w:line="288" w:lineRule="auto"/>
        <w:ind w:right="-1" w:firstLine="709"/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</w:pPr>
    </w:p>
    <w:p w:rsidR="00120D31" w:rsidRPr="00A0114C" w:rsidRDefault="00120D31" w:rsidP="00A0114C">
      <w:pPr>
        <w:spacing w:line="288" w:lineRule="auto"/>
        <w:ind w:left="284" w:right="28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2E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Даллакян</w:t>
      </w:r>
      <w:proofErr w:type="spellEnd"/>
      <w:r w:rsidRPr="008C2E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8C2E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Генарис</w:t>
      </w:r>
      <w:proofErr w:type="spellEnd"/>
      <w:r w:rsidRPr="008C2E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8C2E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Арминакович</w:t>
      </w:r>
      <w:proofErr w:type="spellEnd"/>
      <w:r w:rsidRPr="00A011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старший научный сотрудник кафедры гидробиологии МГУ имени М.В. Ломоносова, кандидат биологических наук, 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8(495)939-2573 – рабоч</w:t>
      </w:r>
      <w:r w:rsidR="0070731C">
        <w:rPr>
          <w:rFonts w:ascii="Times New Roman" w:hAnsi="Times New Roman" w:cs="Times New Roman"/>
          <w:color w:val="000000" w:themeColor="text1"/>
          <w:sz w:val="24"/>
          <w:szCs w:val="24"/>
        </w:rPr>
        <w:t>ий, +7(91</w:t>
      </w:r>
      <w:r w:rsidR="0070731C" w:rsidRPr="007073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073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0731C" w:rsidRPr="007073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0731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0731C" w:rsidRPr="007073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073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731C" w:rsidRPr="0070731C">
        <w:rPr>
          <w:rFonts w:ascii="Times New Roman" w:hAnsi="Times New Roman" w:cs="Times New Roman"/>
          <w:color w:val="000000" w:themeColor="text1"/>
          <w:sz w:val="24"/>
          <w:szCs w:val="24"/>
        </w:rPr>
        <w:t>1899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мобильный. </w:t>
      </w:r>
      <w:r w:rsidR="00A0114C" w:rsidRPr="00A0114C">
        <w:rPr>
          <w:rFonts w:ascii="Times New Roman" w:hAnsi="Times New Roman" w:cs="Times New Roman"/>
          <w:color w:val="FF0000"/>
          <w:sz w:val="24"/>
          <w:szCs w:val="24"/>
        </w:rPr>
        <w:t>Почтовый адрес:</w:t>
      </w:r>
      <w:r w:rsidR="00A0114C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8" w:history="1">
        <w:r w:rsidR="00F65213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honaris@bk.ru</w:t>
        </w:r>
      </w:hyperlink>
      <w:r w:rsidR="00F6521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D31" w:rsidRPr="00A0114C" w:rsidRDefault="00120D31" w:rsidP="00A0114C">
      <w:pPr>
        <w:spacing w:line="288" w:lineRule="auto"/>
        <w:ind w:left="284" w:right="28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Мошарова</w:t>
      </w:r>
      <w:proofErr w:type="spellEnd"/>
      <w:r w:rsidRPr="008C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Ирина Викторовна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, старший научный сотрудник кафедры гидробиологии МГУ имени М.В. Ломоносова, кандидат биологических наук, 8(495)939-2573 – рабоч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ий, +7(910)474-9717 – мобильный. Почтовый адрес: 127253, Москва, ул. Псковская, дом 12, корпус 1, кв. 117, 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9" w:history="1">
        <w:r w:rsidR="00E05F25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ivmpost</w:t>
        </w:r>
        <w:r w:rsidR="00E05F25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E05F25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E05F25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05F25"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120D31" w:rsidRPr="00A0114C" w:rsidRDefault="00120D31" w:rsidP="00A0114C">
      <w:pPr>
        <w:spacing w:line="288" w:lineRule="auto"/>
        <w:ind w:left="284" w:right="28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Ильинский Владимир Викторович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, профессор кафедры гидробиологии, доктор биологических наук,</w:t>
      </w:r>
      <w:r w:rsidR="00E05F25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8(495)939-2573 – рабочий, +7(906)032-0173 – мобильный. Почтовый адрес: </w:t>
      </w:r>
      <w:r w:rsidR="00F65213"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105043, Москва, Измайловский бульвар, дом 34, кв. 25,</w:t>
      </w:r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Е-</w:t>
      </w:r>
      <w:proofErr w:type="spellStart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0" w:history="1">
        <w:r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vladilinskiy@</w:t>
        </w:r>
        <w:r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gmail</w:t>
        </w:r>
        <w:r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0114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A01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D31" w:rsidRPr="00A0114C" w:rsidRDefault="00120D31" w:rsidP="008D2D76">
      <w:pPr>
        <w:keepNext/>
        <w:snapToGrid w:val="0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120D31" w:rsidRPr="00A0114C" w:rsidSect="00511A04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3D" w:rsidRDefault="0094543D" w:rsidP="008D2D76">
      <w:pPr>
        <w:spacing w:line="240" w:lineRule="auto"/>
      </w:pPr>
      <w:r>
        <w:separator/>
      </w:r>
    </w:p>
  </w:endnote>
  <w:endnote w:type="continuationSeparator" w:id="0">
    <w:p w:rsidR="0094543D" w:rsidRDefault="0094543D" w:rsidP="008D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6089"/>
      <w:docPartObj>
        <w:docPartGallery w:val="Page Numbers (Bottom of Page)"/>
        <w:docPartUnique/>
      </w:docPartObj>
    </w:sdtPr>
    <w:sdtEndPr/>
    <w:sdtContent>
      <w:p w:rsidR="00AB0C66" w:rsidRDefault="009454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A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0C66" w:rsidRDefault="00AB0C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3D" w:rsidRDefault="0094543D" w:rsidP="008D2D76">
      <w:pPr>
        <w:spacing w:line="240" w:lineRule="auto"/>
      </w:pPr>
      <w:r>
        <w:separator/>
      </w:r>
    </w:p>
  </w:footnote>
  <w:footnote w:type="continuationSeparator" w:id="0">
    <w:p w:rsidR="0094543D" w:rsidRDefault="0094543D" w:rsidP="008D2D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E9E"/>
    <w:multiLevelType w:val="hybridMultilevel"/>
    <w:tmpl w:val="FF4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0CFB"/>
    <w:multiLevelType w:val="hybridMultilevel"/>
    <w:tmpl w:val="383A5F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417"/>
    <w:multiLevelType w:val="hybridMultilevel"/>
    <w:tmpl w:val="882CA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8143B9"/>
    <w:multiLevelType w:val="hybridMultilevel"/>
    <w:tmpl w:val="1B12C3A2"/>
    <w:lvl w:ilvl="0" w:tplc="329C10D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F6667A"/>
    <w:multiLevelType w:val="hybridMultilevel"/>
    <w:tmpl w:val="229A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5F9D"/>
    <w:multiLevelType w:val="hybridMultilevel"/>
    <w:tmpl w:val="FD3A2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4E3"/>
    <w:rsid w:val="0002462D"/>
    <w:rsid w:val="000635FA"/>
    <w:rsid w:val="00097177"/>
    <w:rsid w:val="000A56D5"/>
    <w:rsid w:val="000B2206"/>
    <w:rsid w:val="000B70F1"/>
    <w:rsid w:val="000B72E2"/>
    <w:rsid w:val="000D3DF5"/>
    <w:rsid w:val="00120D31"/>
    <w:rsid w:val="00142213"/>
    <w:rsid w:val="00142D02"/>
    <w:rsid w:val="00151532"/>
    <w:rsid w:val="00153193"/>
    <w:rsid w:val="00153533"/>
    <w:rsid w:val="001552FD"/>
    <w:rsid w:val="001731EC"/>
    <w:rsid w:val="001843C4"/>
    <w:rsid w:val="001871C8"/>
    <w:rsid w:val="001A42A3"/>
    <w:rsid w:val="001C21FF"/>
    <w:rsid w:val="001C64B9"/>
    <w:rsid w:val="00221F4F"/>
    <w:rsid w:val="00224E4B"/>
    <w:rsid w:val="0024605A"/>
    <w:rsid w:val="0025066F"/>
    <w:rsid w:val="002528AA"/>
    <w:rsid w:val="0026497F"/>
    <w:rsid w:val="00275076"/>
    <w:rsid w:val="0027713B"/>
    <w:rsid w:val="002B3DE2"/>
    <w:rsid w:val="002C326E"/>
    <w:rsid w:val="002D0F7C"/>
    <w:rsid w:val="002E1F25"/>
    <w:rsid w:val="002F6622"/>
    <w:rsid w:val="00321555"/>
    <w:rsid w:val="00337F4F"/>
    <w:rsid w:val="0035627E"/>
    <w:rsid w:val="00373489"/>
    <w:rsid w:val="0037510C"/>
    <w:rsid w:val="0038627A"/>
    <w:rsid w:val="00386C8A"/>
    <w:rsid w:val="003877F3"/>
    <w:rsid w:val="003B2DA8"/>
    <w:rsid w:val="003B596C"/>
    <w:rsid w:val="003F5823"/>
    <w:rsid w:val="003F7C8A"/>
    <w:rsid w:val="004010D4"/>
    <w:rsid w:val="004041B1"/>
    <w:rsid w:val="00404314"/>
    <w:rsid w:val="004074BD"/>
    <w:rsid w:val="004305A1"/>
    <w:rsid w:val="00431442"/>
    <w:rsid w:val="00432A49"/>
    <w:rsid w:val="00443FF8"/>
    <w:rsid w:val="00455086"/>
    <w:rsid w:val="00467992"/>
    <w:rsid w:val="00475906"/>
    <w:rsid w:val="0048064A"/>
    <w:rsid w:val="00483151"/>
    <w:rsid w:val="004B491E"/>
    <w:rsid w:val="004B6C99"/>
    <w:rsid w:val="004C0DC0"/>
    <w:rsid w:val="004D5993"/>
    <w:rsid w:val="00511A04"/>
    <w:rsid w:val="00522FE1"/>
    <w:rsid w:val="005278D2"/>
    <w:rsid w:val="005310E2"/>
    <w:rsid w:val="00531C04"/>
    <w:rsid w:val="00533299"/>
    <w:rsid w:val="0056577E"/>
    <w:rsid w:val="00583F9A"/>
    <w:rsid w:val="005877B0"/>
    <w:rsid w:val="005A3E22"/>
    <w:rsid w:val="005A68C1"/>
    <w:rsid w:val="005C09B7"/>
    <w:rsid w:val="005C0B93"/>
    <w:rsid w:val="005C11ED"/>
    <w:rsid w:val="005D79DD"/>
    <w:rsid w:val="005F2811"/>
    <w:rsid w:val="005F2DC2"/>
    <w:rsid w:val="006211E3"/>
    <w:rsid w:val="00625404"/>
    <w:rsid w:val="0066578C"/>
    <w:rsid w:val="00680EF6"/>
    <w:rsid w:val="0068371C"/>
    <w:rsid w:val="006C4A8C"/>
    <w:rsid w:val="006D4C30"/>
    <w:rsid w:val="006E2542"/>
    <w:rsid w:val="00701043"/>
    <w:rsid w:val="0070731C"/>
    <w:rsid w:val="00764201"/>
    <w:rsid w:val="007674B7"/>
    <w:rsid w:val="0077388E"/>
    <w:rsid w:val="00775E93"/>
    <w:rsid w:val="007F103B"/>
    <w:rsid w:val="00810881"/>
    <w:rsid w:val="00826B48"/>
    <w:rsid w:val="00854E71"/>
    <w:rsid w:val="008639E8"/>
    <w:rsid w:val="00863BB9"/>
    <w:rsid w:val="00864660"/>
    <w:rsid w:val="00866B09"/>
    <w:rsid w:val="008756F6"/>
    <w:rsid w:val="00875A71"/>
    <w:rsid w:val="008C2EAE"/>
    <w:rsid w:val="008D2D76"/>
    <w:rsid w:val="008E07E2"/>
    <w:rsid w:val="008E08D5"/>
    <w:rsid w:val="008E3FD2"/>
    <w:rsid w:val="009015FF"/>
    <w:rsid w:val="00910751"/>
    <w:rsid w:val="00911673"/>
    <w:rsid w:val="00914388"/>
    <w:rsid w:val="0094543D"/>
    <w:rsid w:val="00947681"/>
    <w:rsid w:val="00966077"/>
    <w:rsid w:val="009726AA"/>
    <w:rsid w:val="0098672D"/>
    <w:rsid w:val="009A342B"/>
    <w:rsid w:val="009B5A85"/>
    <w:rsid w:val="009C5996"/>
    <w:rsid w:val="009C74D1"/>
    <w:rsid w:val="009E22F7"/>
    <w:rsid w:val="009E6DE6"/>
    <w:rsid w:val="00A00642"/>
    <w:rsid w:val="00A00A56"/>
    <w:rsid w:val="00A0114C"/>
    <w:rsid w:val="00A77FDE"/>
    <w:rsid w:val="00AB0C66"/>
    <w:rsid w:val="00AB29DA"/>
    <w:rsid w:val="00AD0F9D"/>
    <w:rsid w:val="00AD28DE"/>
    <w:rsid w:val="00B37835"/>
    <w:rsid w:val="00B40B84"/>
    <w:rsid w:val="00B4119A"/>
    <w:rsid w:val="00B44029"/>
    <w:rsid w:val="00B56592"/>
    <w:rsid w:val="00B7010B"/>
    <w:rsid w:val="00B83CE9"/>
    <w:rsid w:val="00B906AC"/>
    <w:rsid w:val="00BB3858"/>
    <w:rsid w:val="00BB4C3E"/>
    <w:rsid w:val="00C01E81"/>
    <w:rsid w:val="00C06C77"/>
    <w:rsid w:val="00C1447D"/>
    <w:rsid w:val="00C23A82"/>
    <w:rsid w:val="00C23D4A"/>
    <w:rsid w:val="00C37FA7"/>
    <w:rsid w:val="00C42BEB"/>
    <w:rsid w:val="00C42D38"/>
    <w:rsid w:val="00C67440"/>
    <w:rsid w:val="00C914EF"/>
    <w:rsid w:val="00CA1233"/>
    <w:rsid w:val="00CA14E3"/>
    <w:rsid w:val="00CB34E7"/>
    <w:rsid w:val="00CD361F"/>
    <w:rsid w:val="00CD3949"/>
    <w:rsid w:val="00CE6033"/>
    <w:rsid w:val="00D200E6"/>
    <w:rsid w:val="00DF5E36"/>
    <w:rsid w:val="00E05F25"/>
    <w:rsid w:val="00E17B9C"/>
    <w:rsid w:val="00E355B7"/>
    <w:rsid w:val="00E52C39"/>
    <w:rsid w:val="00E71ECA"/>
    <w:rsid w:val="00F152CB"/>
    <w:rsid w:val="00F26B43"/>
    <w:rsid w:val="00F317DE"/>
    <w:rsid w:val="00F55ACB"/>
    <w:rsid w:val="00F6026D"/>
    <w:rsid w:val="00F65213"/>
    <w:rsid w:val="00F904E8"/>
    <w:rsid w:val="00FA3EF0"/>
    <w:rsid w:val="00FA7987"/>
    <w:rsid w:val="00FC7848"/>
    <w:rsid w:val="00FD1A3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01C99-4802-4EC1-A0AC-B95387F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E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1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E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2D7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2D76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8D2D7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D76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1C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library.ru/title_about.asp?id=26710" TargetMode="External"/><Relationship Id="rId18" Type="http://schemas.openxmlformats.org/officeDocument/2006/relationships/hyperlink" Target="mailto:honaris@bk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ibrary.ru/item.asp?id=24910330" TargetMode="External"/><Relationship Id="rId17" Type="http://schemas.openxmlformats.org/officeDocument/2006/relationships/hyperlink" Target="mailto:ivmpo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mpost@mail.ru" TargetMode="External"/><Relationship Id="rId20" Type="http://schemas.openxmlformats.org/officeDocument/2006/relationships/hyperlink" Target="mailto:vladilinski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2453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mag.org/cgi/content/abstract/257/5067/21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mailto:ivmpo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EA80-5D34-41B3-9DC7-0A3FAC8A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28</cp:revision>
  <dcterms:created xsi:type="dcterms:W3CDTF">2017-04-23T20:09:00Z</dcterms:created>
  <dcterms:modified xsi:type="dcterms:W3CDTF">2017-09-03T21:38:00Z</dcterms:modified>
</cp:coreProperties>
</file>